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82724">
      <w:pPr>
        <w:adjustRightInd w:val="0"/>
        <w:snapToGrid w:val="0"/>
        <w:spacing w:line="360" w:lineRule="auto"/>
        <w:rPr>
          <w:rFonts w:cs="Arial" w:asciiTheme="minorEastAsia" w:hAnsiTheme="minorEastAsia" w:eastAsiaTheme="minorEastAsia"/>
          <w:szCs w:val="21"/>
          <w:highlight w:val="none"/>
        </w:rPr>
      </w:pPr>
      <w:bookmarkStart w:id="0" w:name="CTS_cdd89a7b283b42fd88a9e56994a98097"/>
      <w:bookmarkEnd w:id="0"/>
      <w:bookmarkStart w:id="1" w:name="CLAUSE_cdd89a7b283b42fd88a9e56994a98097"/>
    </w:p>
    <w:p w14:paraId="7ED4B604">
      <w:pPr>
        <w:adjustRightInd w:val="0"/>
        <w:snapToGrid w:val="0"/>
        <w:spacing w:line="360" w:lineRule="auto"/>
        <w:rPr>
          <w:rFonts w:cs="Arial" w:asciiTheme="minorEastAsia" w:hAnsiTheme="minorEastAsia" w:eastAsiaTheme="minorEastAsia"/>
          <w:szCs w:val="21"/>
          <w:highlight w:val="none"/>
        </w:rPr>
      </w:pPr>
    </w:p>
    <w:p w14:paraId="6FA501B2">
      <w:pPr>
        <w:adjustRightInd w:val="0"/>
        <w:snapToGrid w:val="0"/>
        <w:spacing w:line="360" w:lineRule="auto"/>
        <w:rPr>
          <w:rFonts w:cs="Arial" w:asciiTheme="minorEastAsia" w:hAnsiTheme="minorEastAsia" w:eastAsiaTheme="minorEastAsia"/>
          <w:szCs w:val="21"/>
          <w:highlight w:val="none"/>
        </w:rPr>
      </w:pPr>
    </w:p>
    <w:p w14:paraId="5B3E1312">
      <w:pPr>
        <w:adjustRightInd w:val="0"/>
        <w:snapToGrid w:val="0"/>
        <w:spacing w:line="360" w:lineRule="auto"/>
        <w:rPr>
          <w:rFonts w:cs="Arial" w:asciiTheme="minorEastAsia" w:hAnsiTheme="minorEastAsia" w:eastAsiaTheme="minorEastAsia"/>
          <w:szCs w:val="21"/>
          <w:highlight w:val="none"/>
        </w:rPr>
      </w:pPr>
    </w:p>
    <w:p w14:paraId="2D3F3EBD">
      <w:pPr>
        <w:adjustRightInd w:val="0"/>
        <w:snapToGrid w:val="0"/>
        <w:spacing w:line="360" w:lineRule="auto"/>
        <w:rPr>
          <w:rFonts w:cs="Arial" w:asciiTheme="minorEastAsia" w:hAnsiTheme="minorEastAsia" w:eastAsiaTheme="minorEastAsia"/>
          <w:szCs w:val="21"/>
          <w:highlight w:val="none"/>
        </w:rPr>
      </w:pPr>
    </w:p>
    <w:p w14:paraId="119240B8">
      <w:pPr>
        <w:adjustRightInd w:val="0"/>
        <w:snapToGrid w:val="0"/>
        <w:spacing w:line="360" w:lineRule="auto"/>
        <w:rPr>
          <w:rFonts w:cs="Arial" w:asciiTheme="minorEastAsia" w:hAnsiTheme="minorEastAsia" w:eastAsiaTheme="minorEastAsia"/>
          <w:szCs w:val="21"/>
          <w:highlight w:val="none"/>
        </w:rPr>
      </w:pPr>
    </w:p>
    <w:p w14:paraId="56FB493D">
      <w:pPr>
        <w:adjustRightInd w:val="0"/>
        <w:snapToGrid w:val="0"/>
        <w:spacing w:line="360" w:lineRule="auto"/>
        <w:jc w:val="center"/>
        <w:rPr>
          <w:rFonts w:asciiTheme="minorEastAsia" w:hAnsiTheme="minorEastAsia" w:eastAsiaTheme="minorEastAsia"/>
          <w:b/>
          <w:sz w:val="36"/>
          <w:highlight w:val="none"/>
        </w:rPr>
      </w:pPr>
      <w:r>
        <w:rPr>
          <w:rFonts w:hint="eastAsia" w:cs="Arial" w:asciiTheme="minorEastAsia" w:hAnsiTheme="minorEastAsia" w:eastAsiaTheme="minorEastAsia"/>
          <w:b/>
          <w:bCs/>
          <w:sz w:val="36"/>
          <w:szCs w:val="36"/>
          <w:highlight w:val="none"/>
        </w:rPr>
        <w:t>博时中证金融科技主题交易型开放式指数证券投资基金联接基金</w:t>
      </w:r>
      <w:r>
        <w:rPr>
          <w:rFonts w:hint="eastAsia" w:asciiTheme="minorEastAsia" w:hAnsiTheme="minorEastAsia" w:eastAsiaTheme="minorEastAsia"/>
          <w:b/>
          <w:sz w:val="36"/>
          <w:highlight w:val="none"/>
        </w:rPr>
        <w:t>基金合同</w:t>
      </w:r>
    </w:p>
    <w:p w14:paraId="22D90023">
      <w:pPr>
        <w:adjustRightInd w:val="0"/>
        <w:snapToGrid w:val="0"/>
        <w:spacing w:line="360" w:lineRule="auto"/>
        <w:jc w:val="center"/>
        <w:rPr>
          <w:rFonts w:cs="Arial" w:asciiTheme="minorEastAsia" w:hAnsiTheme="minorEastAsia" w:eastAsiaTheme="minorEastAsia"/>
          <w:b/>
          <w:bCs/>
          <w:sz w:val="36"/>
          <w:szCs w:val="36"/>
          <w:highlight w:val="none"/>
        </w:rPr>
      </w:pPr>
    </w:p>
    <w:p w14:paraId="03C7D842">
      <w:pPr>
        <w:adjustRightInd w:val="0"/>
        <w:snapToGrid w:val="0"/>
        <w:spacing w:line="360" w:lineRule="auto"/>
        <w:jc w:val="center"/>
        <w:rPr>
          <w:rFonts w:cs="Arial" w:asciiTheme="minorEastAsia" w:hAnsiTheme="minorEastAsia" w:eastAsiaTheme="minorEastAsia"/>
          <w:b/>
          <w:bCs/>
          <w:sz w:val="36"/>
          <w:szCs w:val="36"/>
          <w:highlight w:val="none"/>
        </w:rPr>
      </w:pPr>
      <w:bookmarkStart w:id="537" w:name="_GoBack"/>
      <w:bookmarkEnd w:id="537"/>
    </w:p>
    <w:p w14:paraId="59591550">
      <w:pPr>
        <w:adjustRightInd w:val="0"/>
        <w:snapToGrid w:val="0"/>
        <w:spacing w:line="360" w:lineRule="auto"/>
        <w:jc w:val="center"/>
        <w:rPr>
          <w:rFonts w:cs="Arial" w:asciiTheme="minorEastAsia" w:hAnsiTheme="minorEastAsia" w:eastAsiaTheme="minorEastAsia"/>
          <w:b/>
          <w:bCs/>
          <w:sz w:val="36"/>
          <w:szCs w:val="36"/>
          <w:highlight w:val="none"/>
        </w:rPr>
      </w:pPr>
    </w:p>
    <w:p w14:paraId="56D996E4">
      <w:pPr>
        <w:adjustRightInd w:val="0"/>
        <w:snapToGrid w:val="0"/>
        <w:spacing w:line="360" w:lineRule="auto"/>
        <w:jc w:val="center"/>
        <w:rPr>
          <w:rFonts w:cs="Arial" w:asciiTheme="minorEastAsia" w:hAnsiTheme="minorEastAsia" w:eastAsiaTheme="minorEastAsia"/>
          <w:b/>
          <w:bCs/>
          <w:sz w:val="36"/>
          <w:szCs w:val="36"/>
          <w:highlight w:val="none"/>
        </w:rPr>
      </w:pPr>
    </w:p>
    <w:p w14:paraId="38AF8B8D">
      <w:pPr>
        <w:adjustRightInd w:val="0"/>
        <w:snapToGrid w:val="0"/>
        <w:spacing w:line="360" w:lineRule="auto"/>
        <w:rPr>
          <w:rFonts w:cs="Arial" w:asciiTheme="minorEastAsia" w:hAnsiTheme="minorEastAsia" w:eastAsiaTheme="minorEastAsia"/>
          <w:szCs w:val="21"/>
          <w:highlight w:val="none"/>
        </w:rPr>
      </w:pPr>
    </w:p>
    <w:p w14:paraId="7B8C8733">
      <w:pPr>
        <w:adjustRightInd w:val="0"/>
        <w:snapToGrid w:val="0"/>
        <w:spacing w:line="360" w:lineRule="auto"/>
        <w:rPr>
          <w:rFonts w:asciiTheme="minorEastAsia" w:hAnsiTheme="minorEastAsia" w:eastAsiaTheme="minorEastAsia"/>
          <w:highlight w:val="none"/>
        </w:rPr>
      </w:pPr>
    </w:p>
    <w:p w14:paraId="444B153E">
      <w:pPr>
        <w:adjustRightInd w:val="0"/>
        <w:snapToGrid w:val="0"/>
        <w:spacing w:line="360" w:lineRule="auto"/>
        <w:rPr>
          <w:rFonts w:asciiTheme="minorEastAsia" w:hAnsiTheme="minorEastAsia" w:eastAsiaTheme="minorEastAsia"/>
          <w:highlight w:val="none"/>
        </w:rPr>
      </w:pPr>
    </w:p>
    <w:p w14:paraId="59FAF384">
      <w:pPr>
        <w:adjustRightInd w:val="0"/>
        <w:snapToGrid w:val="0"/>
        <w:spacing w:line="360" w:lineRule="auto"/>
        <w:rPr>
          <w:rFonts w:asciiTheme="minorEastAsia" w:hAnsiTheme="minorEastAsia" w:eastAsiaTheme="minorEastAsia"/>
          <w:highlight w:val="none"/>
        </w:rPr>
      </w:pPr>
    </w:p>
    <w:p w14:paraId="38148A1E">
      <w:pPr>
        <w:adjustRightInd w:val="0"/>
        <w:snapToGrid w:val="0"/>
        <w:spacing w:line="360" w:lineRule="auto"/>
        <w:rPr>
          <w:rFonts w:asciiTheme="minorEastAsia" w:hAnsiTheme="minorEastAsia" w:eastAsiaTheme="minorEastAsia"/>
          <w:highlight w:val="none"/>
        </w:rPr>
      </w:pPr>
    </w:p>
    <w:p w14:paraId="6F5BE850">
      <w:pPr>
        <w:adjustRightInd w:val="0"/>
        <w:snapToGrid w:val="0"/>
        <w:spacing w:line="360" w:lineRule="auto"/>
        <w:rPr>
          <w:rFonts w:asciiTheme="minorEastAsia" w:hAnsiTheme="minorEastAsia" w:eastAsiaTheme="minorEastAsia"/>
          <w:highlight w:val="none"/>
        </w:rPr>
      </w:pPr>
    </w:p>
    <w:p w14:paraId="0462263E">
      <w:pPr>
        <w:adjustRightInd w:val="0"/>
        <w:snapToGrid w:val="0"/>
        <w:spacing w:line="360" w:lineRule="auto"/>
        <w:jc w:val="center"/>
        <w:rPr>
          <w:rFonts w:asciiTheme="minorEastAsia" w:hAnsiTheme="minorEastAsia" w:eastAsiaTheme="minorEastAsia"/>
          <w:b/>
          <w:sz w:val="30"/>
          <w:highlight w:val="none"/>
        </w:rPr>
      </w:pPr>
      <w:bookmarkStart w:id="2" w:name="_Toc139992301"/>
      <w:bookmarkStart w:id="3" w:name="_Toc123112224"/>
      <w:bookmarkStart w:id="4" w:name="_Toc139991726"/>
      <w:bookmarkStart w:id="5" w:name="_Toc123701383"/>
      <w:bookmarkStart w:id="6" w:name="_Toc123112263"/>
      <w:r>
        <w:rPr>
          <w:rFonts w:hint="eastAsia" w:asciiTheme="minorEastAsia" w:hAnsiTheme="minorEastAsia" w:eastAsiaTheme="minorEastAsia"/>
          <w:b/>
          <w:sz w:val="30"/>
          <w:highlight w:val="none"/>
        </w:rPr>
        <w:t>基金管理人：</w:t>
      </w:r>
      <w:bookmarkEnd w:id="2"/>
      <w:bookmarkEnd w:id="3"/>
      <w:bookmarkEnd w:id="4"/>
      <w:bookmarkEnd w:id="5"/>
      <w:bookmarkEnd w:id="6"/>
      <w:r>
        <w:rPr>
          <w:rFonts w:cs="Arial" w:asciiTheme="minorEastAsia" w:hAnsiTheme="minorEastAsia" w:eastAsiaTheme="minorEastAsia"/>
          <w:b/>
          <w:bCs/>
          <w:sz w:val="30"/>
          <w:szCs w:val="30"/>
          <w:highlight w:val="none"/>
        </w:rPr>
        <w:t>博时基金管理有限公司</w:t>
      </w:r>
    </w:p>
    <w:p w14:paraId="65DA4C87">
      <w:pPr>
        <w:adjustRightInd w:val="0"/>
        <w:snapToGrid w:val="0"/>
        <w:spacing w:line="360" w:lineRule="auto"/>
        <w:jc w:val="center"/>
        <w:rPr>
          <w:rFonts w:asciiTheme="minorEastAsia" w:hAnsiTheme="minorEastAsia" w:eastAsiaTheme="minorEastAsia"/>
          <w:b/>
          <w:sz w:val="30"/>
          <w:highlight w:val="none"/>
        </w:rPr>
      </w:pPr>
      <w:bookmarkStart w:id="7" w:name="_Toc139991727"/>
      <w:bookmarkStart w:id="8" w:name="_Toc139992302"/>
      <w:bookmarkStart w:id="9" w:name="_Toc123701384"/>
      <w:bookmarkStart w:id="10" w:name="_Toc123112225"/>
      <w:bookmarkStart w:id="11" w:name="_Toc123112264"/>
      <w:r>
        <w:rPr>
          <w:rFonts w:hint="eastAsia" w:asciiTheme="minorEastAsia" w:hAnsiTheme="minorEastAsia" w:eastAsiaTheme="minorEastAsia"/>
          <w:b/>
          <w:sz w:val="30"/>
          <w:highlight w:val="none"/>
        </w:rPr>
        <w:t>基金托管人：</w:t>
      </w:r>
      <w:bookmarkEnd w:id="7"/>
      <w:bookmarkEnd w:id="8"/>
      <w:bookmarkEnd w:id="9"/>
      <w:bookmarkEnd w:id="10"/>
      <w:bookmarkEnd w:id="11"/>
      <w:r>
        <w:rPr>
          <w:rFonts w:hint="eastAsia" w:cs="Arial" w:asciiTheme="minorEastAsia" w:hAnsiTheme="minorEastAsia" w:eastAsiaTheme="minorEastAsia"/>
          <w:b/>
          <w:bCs/>
          <w:sz w:val="30"/>
          <w:szCs w:val="30"/>
          <w:highlight w:val="none"/>
        </w:rPr>
        <w:t>中国建设银行股份有限公司</w:t>
      </w:r>
    </w:p>
    <w:p w14:paraId="7ACDB89A">
      <w:pPr>
        <w:adjustRightInd w:val="0"/>
        <w:snapToGrid w:val="0"/>
        <w:spacing w:line="360" w:lineRule="auto"/>
        <w:rPr>
          <w:rFonts w:asciiTheme="minorEastAsia" w:hAnsiTheme="minorEastAsia" w:eastAsiaTheme="minorEastAsia"/>
          <w:sz w:val="30"/>
          <w:highlight w:val="none"/>
        </w:rPr>
      </w:pPr>
      <w:bookmarkStart w:id="12" w:name="_Toc123112266"/>
      <w:bookmarkStart w:id="13" w:name="_Toc123112227"/>
      <w:bookmarkStart w:id="14" w:name="_Toc123701386"/>
      <w:bookmarkStart w:id="15" w:name="_Toc139991729"/>
    </w:p>
    <w:p w14:paraId="424D7B22">
      <w:pPr>
        <w:adjustRightInd w:val="0"/>
        <w:snapToGrid w:val="0"/>
        <w:spacing w:line="360" w:lineRule="auto"/>
        <w:jc w:val="center"/>
        <w:rPr>
          <w:rFonts w:asciiTheme="minorEastAsia" w:hAnsiTheme="minorEastAsia" w:eastAsiaTheme="minorEastAsia"/>
          <w:b/>
          <w:sz w:val="30"/>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b/>
          <w:sz w:val="30"/>
          <w:highlight w:val="none"/>
        </w:rPr>
        <w:t>二〇二五年</w:t>
      </w:r>
      <w:r>
        <w:rPr>
          <w:rFonts w:hint="eastAsia" w:asciiTheme="minorEastAsia" w:hAnsiTheme="minorEastAsia" w:eastAsiaTheme="minorEastAsia"/>
          <w:b/>
          <w:sz w:val="30"/>
          <w:highlight w:val="none"/>
          <w:lang w:val="en-US" w:eastAsia="zh-CN"/>
        </w:rPr>
        <w:t>五</w:t>
      </w:r>
      <w:r>
        <w:rPr>
          <w:rFonts w:hint="eastAsia" w:asciiTheme="minorEastAsia" w:hAnsiTheme="minorEastAsia" w:eastAsiaTheme="minorEastAsia"/>
          <w:b/>
          <w:sz w:val="30"/>
          <w:highlight w:val="none"/>
        </w:rPr>
        <w:t>月</w:t>
      </w:r>
      <w:bookmarkEnd w:id="1"/>
      <w:bookmarkStart w:id="16" w:name="CTS_21105264e81f4656ae208a8b58f62d4d"/>
      <w:bookmarkEnd w:id="16"/>
      <w:bookmarkStart w:id="17" w:name="CTS_6645ea258fd14927a3fd8ea662dec2ba"/>
      <w:bookmarkEnd w:id="17"/>
      <w:bookmarkStart w:id="18" w:name="CLAUSE_21105264e81f4656ae208a8b58f62d4d"/>
    </w:p>
    <w:p w14:paraId="62149253">
      <w:pPr>
        <w:adjustRightInd w:val="0"/>
        <w:snapToGrid w:val="0"/>
        <w:spacing w:line="360" w:lineRule="auto"/>
        <w:rPr>
          <w:rFonts w:cs="Arial" w:asciiTheme="minorEastAsia" w:hAnsiTheme="minorEastAsia" w:eastAsiaTheme="minorEastAsia"/>
          <w:szCs w:val="21"/>
          <w:highlight w:val="none"/>
        </w:rPr>
      </w:pPr>
    </w:p>
    <w:p w14:paraId="4E9C8A9F">
      <w:pPr>
        <w:adjustRightInd w:val="0"/>
        <w:snapToGrid w:val="0"/>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目</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录</w:t>
      </w:r>
      <w:bookmarkEnd w:id="12"/>
      <w:bookmarkEnd w:id="13"/>
      <w:bookmarkEnd w:id="14"/>
      <w:bookmarkEnd w:id="15"/>
    </w:p>
    <w:p w14:paraId="3630F1D4">
      <w:pPr>
        <w:adjustRightInd w:val="0"/>
        <w:snapToGrid w:val="0"/>
        <w:spacing w:line="360" w:lineRule="auto"/>
        <w:jc w:val="center"/>
        <w:rPr>
          <w:rFonts w:cs="Arial" w:asciiTheme="minorEastAsia" w:hAnsiTheme="minorEastAsia" w:eastAsiaTheme="minorEastAsia"/>
          <w:szCs w:val="21"/>
          <w:highlight w:val="none"/>
        </w:rPr>
      </w:pPr>
      <w:bookmarkStart w:id="19" w:name="_Toc32639"/>
      <w:bookmarkStart w:id="20" w:name="_Toc139991730"/>
      <w:bookmarkStart w:id="21" w:name="_Toc8727"/>
      <w:bookmarkStart w:id="22" w:name="_Toc15517"/>
      <w:bookmarkStart w:id="23" w:name="_Toc4966"/>
      <w:bookmarkStart w:id="24" w:name="_Toc141703880"/>
      <w:bookmarkStart w:id="25" w:name="_Toc11660"/>
      <w:bookmarkStart w:id="26" w:name="_Toc6306"/>
      <w:bookmarkStart w:id="27" w:name="_Toc30935"/>
      <w:bookmarkStart w:id="28" w:name="_Toc23386"/>
      <w:bookmarkStart w:id="29" w:name="_Toc4867"/>
      <w:bookmarkStart w:id="30" w:name="_Toc26897"/>
      <w:bookmarkStart w:id="31" w:name="_Toc29629"/>
      <w:bookmarkStart w:id="32" w:name="_Toc123112268"/>
      <w:bookmarkStart w:id="33" w:name="_Toc123112229"/>
      <w:bookmarkStart w:id="34" w:name="_Toc123701389"/>
      <w:bookmarkStart w:id="35" w:name="_Toc233456271"/>
    </w:p>
    <w:p w14:paraId="1950752F">
      <w:pPr>
        <w:pStyle w:val="25"/>
        <w:tabs>
          <w:tab w:val="right" w:leader="dot" w:pos="8494"/>
        </w:tabs>
        <w:spacing w:line="360" w:lineRule="auto"/>
        <w:rPr>
          <w:rFonts w:asciiTheme="minorEastAsia" w:hAnsiTheme="minorEastAsia" w:eastAsiaTheme="minorEastAsia" w:cstheme="minorBidi"/>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TOC \o "1-1" \h \z </w:instrText>
      </w:r>
      <w:r>
        <w:rPr>
          <w:rFonts w:asciiTheme="minorEastAsia" w:hAnsiTheme="minorEastAsia" w:eastAsiaTheme="minorEastAsia"/>
          <w:szCs w:val="21"/>
          <w:highlight w:val="none"/>
        </w:rPr>
        <w:fldChar w:fldCharType="separate"/>
      </w:r>
      <w:r>
        <w:rPr>
          <w:highlight w:val="none"/>
        </w:rPr>
        <w:fldChar w:fldCharType="begin"/>
      </w:r>
      <w:r>
        <w:rPr>
          <w:highlight w:val="none"/>
        </w:rPr>
        <w:instrText xml:space="preserve"> HYPERLINK \l "_Toc16237226" </w:instrText>
      </w:r>
      <w:r>
        <w:rPr>
          <w:highlight w:val="none"/>
        </w:rPr>
        <w:fldChar w:fldCharType="separate"/>
      </w:r>
      <w:r>
        <w:rPr>
          <w:rStyle w:val="42"/>
          <w:rFonts w:hint="eastAsia" w:cs="Arial" w:asciiTheme="minorEastAsia" w:hAnsiTheme="minorEastAsia" w:eastAsiaTheme="minorEastAsia"/>
          <w:szCs w:val="21"/>
          <w:highlight w:val="none"/>
        </w:rPr>
        <w:t>第一部分</w:t>
      </w:r>
      <w:r>
        <w:rPr>
          <w:rStyle w:val="42"/>
          <w:rFonts w:cs="Arial" w:asciiTheme="minorEastAsia" w:hAnsiTheme="minorEastAsia" w:eastAsiaTheme="minorEastAsia"/>
          <w:szCs w:val="21"/>
          <w:highlight w:val="none"/>
        </w:rPr>
        <w:t xml:space="preserve"> </w:t>
      </w:r>
      <w:r>
        <w:rPr>
          <w:rStyle w:val="42"/>
          <w:rFonts w:hint="eastAsia" w:cs="Arial" w:asciiTheme="minorEastAsia" w:hAnsiTheme="minorEastAsia" w:eastAsiaTheme="minorEastAsia"/>
          <w:szCs w:val="21"/>
          <w:highlight w:val="none"/>
        </w:rPr>
        <w:t>前言</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_Toc16237226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10988150">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"_Toc16237227" </w:instrText>
      </w:r>
      <w:r>
        <w:rPr>
          <w:highlight w:val="none"/>
        </w:rPr>
        <w:fldChar w:fldCharType="separate"/>
      </w:r>
      <w:r>
        <w:rPr>
          <w:rStyle w:val="42"/>
          <w:rFonts w:hint="eastAsia" w:cs="Arial" w:asciiTheme="minorEastAsia" w:hAnsiTheme="minorEastAsia" w:eastAsiaTheme="minorEastAsia"/>
          <w:szCs w:val="21"/>
          <w:highlight w:val="none"/>
        </w:rPr>
        <w:t>第二部分</w:t>
      </w:r>
      <w:r>
        <w:rPr>
          <w:rStyle w:val="42"/>
          <w:rFonts w:cs="Arial" w:asciiTheme="minorEastAsia" w:hAnsiTheme="minorEastAsia" w:eastAsiaTheme="minorEastAsia"/>
          <w:szCs w:val="21"/>
          <w:highlight w:val="none"/>
        </w:rPr>
        <w:t xml:space="preserve"> </w:t>
      </w:r>
      <w:r>
        <w:rPr>
          <w:rStyle w:val="42"/>
          <w:rFonts w:hint="eastAsia" w:cs="Arial" w:asciiTheme="minorEastAsia" w:hAnsiTheme="minorEastAsia" w:eastAsiaTheme="minorEastAsia"/>
          <w:szCs w:val="21"/>
          <w:highlight w:val="none"/>
        </w:rPr>
        <w:t>释义</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_Toc16237227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1EACE3D1">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"_Toc16237228" </w:instrText>
      </w:r>
      <w:r>
        <w:rPr>
          <w:highlight w:val="none"/>
        </w:rPr>
        <w:fldChar w:fldCharType="separate"/>
      </w:r>
      <w:r>
        <w:rPr>
          <w:rStyle w:val="42"/>
          <w:rFonts w:hint="eastAsia" w:cs="Arial" w:asciiTheme="minorEastAsia" w:hAnsiTheme="minorEastAsia" w:eastAsiaTheme="minorEastAsia"/>
          <w:szCs w:val="21"/>
          <w:highlight w:val="none"/>
        </w:rPr>
        <w:t>第三部分</w:t>
      </w:r>
      <w:r>
        <w:rPr>
          <w:rStyle w:val="42"/>
          <w:rFonts w:cs="Arial" w:asciiTheme="minorEastAsia" w:hAnsiTheme="minorEastAsia" w:eastAsiaTheme="minorEastAsia"/>
          <w:szCs w:val="21"/>
          <w:highlight w:val="none"/>
        </w:rPr>
        <w:t xml:space="preserve"> </w:t>
      </w:r>
      <w:r>
        <w:rPr>
          <w:rStyle w:val="42"/>
          <w:rFonts w:hint="eastAsia" w:cs="Arial" w:asciiTheme="minorEastAsia" w:hAnsiTheme="minorEastAsia" w:eastAsiaTheme="minorEastAsia"/>
          <w:szCs w:val="21"/>
          <w:highlight w:val="none"/>
        </w:rPr>
        <w:t>基金的基本情况</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_Toc16237228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701B2FA5">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"_Toc16237229" </w:instrText>
      </w:r>
      <w:r>
        <w:rPr>
          <w:highlight w:val="none"/>
        </w:rPr>
        <w:fldChar w:fldCharType="separate"/>
      </w:r>
      <w:r>
        <w:rPr>
          <w:rStyle w:val="42"/>
          <w:rFonts w:hint="eastAsia" w:cs="Arial" w:asciiTheme="minorEastAsia" w:hAnsiTheme="minorEastAsia" w:eastAsiaTheme="minorEastAsia"/>
          <w:szCs w:val="21"/>
          <w:highlight w:val="none"/>
        </w:rPr>
        <w:t>第四部分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基金份额的发售</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_Toc16237229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7803475E">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"_Toc16237230" </w:instrText>
      </w:r>
      <w:r>
        <w:rPr>
          <w:highlight w:val="none"/>
        </w:rPr>
        <w:fldChar w:fldCharType="separate"/>
      </w:r>
      <w:r>
        <w:rPr>
          <w:rStyle w:val="42"/>
          <w:rFonts w:hint="eastAsia" w:cs="Arial" w:asciiTheme="minorEastAsia" w:hAnsiTheme="minorEastAsia" w:eastAsiaTheme="minorEastAsia"/>
          <w:szCs w:val="21"/>
          <w:highlight w:val="none"/>
        </w:rPr>
        <w:t>第五部分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基金备案</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_Toc16237230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6DD516E9">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"_Toc16237231" </w:instrText>
      </w:r>
      <w:r>
        <w:rPr>
          <w:highlight w:val="none"/>
        </w:rPr>
        <w:fldChar w:fldCharType="separate"/>
      </w:r>
      <w:r>
        <w:rPr>
          <w:rStyle w:val="42"/>
          <w:rFonts w:hint="eastAsia" w:cs="Arial" w:asciiTheme="minorEastAsia" w:hAnsiTheme="minorEastAsia" w:eastAsiaTheme="minorEastAsia"/>
          <w:szCs w:val="21"/>
          <w:highlight w:val="none"/>
        </w:rPr>
        <w:t>第六部分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基金份额的申购与赎回</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_Toc16237231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2328F223">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"_Toc16237232" </w:instrText>
      </w:r>
      <w:r>
        <w:rPr>
          <w:highlight w:val="none"/>
        </w:rPr>
        <w:fldChar w:fldCharType="separate"/>
      </w:r>
      <w:r>
        <w:rPr>
          <w:rStyle w:val="42"/>
          <w:rFonts w:hint="eastAsia" w:cs="Arial" w:asciiTheme="minorEastAsia" w:hAnsiTheme="minorEastAsia" w:eastAsiaTheme="minorEastAsia"/>
          <w:szCs w:val="21"/>
          <w:highlight w:val="none"/>
        </w:rPr>
        <w:t>第七部分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基金合同当事人及权利义务</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_Toc16237232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0B3E1FD1">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"_Toc16237233" </w:instrText>
      </w:r>
      <w:r>
        <w:rPr>
          <w:highlight w:val="none"/>
        </w:rPr>
        <w:fldChar w:fldCharType="separate"/>
      </w:r>
      <w:r>
        <w:rPr>
          <w:rStyle w:val="42"/>
          <w:rFonts w:hint="eastAsia" w:cs="Arial" w:asciiTheme="minorEastAsia" w:hAnsiTheme="minorEastAsia" w:eastAsiaTheme="minorEastAsia"/>
          <w:szCs w:val="21"/>
          <w:highlight w:val="none"/>
        </w:rPr>
        <w:t>第八部分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基金份额持有人大会</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_Toc16237233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3DB593D2">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"_Toc16237234" </w:instrText>
      </w:r>
      <w:r>
        <w:rPr>
          <w:highlight w:val="none"/>
        </w:rPr>
        <w:fldChar w:fldCharType="separate"/>
      </w:r>
      <w:r>
        <w:rPr>
          <w:rStyle w:val="42"/>
          <w:rFonts w:hint="eastAsia" w:cs="Arial" w:asciiTheme="minorEastAsia" w:hAnsiTheme="minorEastAsia" w:eastAsiaTheme="minorEastAsia"/>
          <w:szCs w:val="21"/>
          <w:highlight w:val="none"/>
        </w:rPr>
        <w:t>第九部分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基金管理人、基金托管人的更换条件和程序</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9-</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_Toc16237234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0421079C">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"_Toc16237235" </w:instrText>
      </w:r>
      <w:r>
        <w:rPr>
          <w:highlight w:val="none"/>
        </w:rPr>
        <w:fldChar w:fldCharType="separate"/>
      </w:r>
      <w:r>
        <w:rPr>
          <w:rStyle w:val="42"/>
          <w:rFonts w:hint="eastAsia" w:cs="Arial" w:asciiTheme="minorEastAsia" w:hAnsiTheme="minorEastAsia" w:eastAsiaTheme="minorEastAsia"/>
          <w:szCs w:val="21"/>
          <w:highlight w:val="none"/>
        </w:rPr>
        <w:t>第十部分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基金的托管</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_Toc16237235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2D1C7959">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"_Toc16237236" </w:instrText>
      </w:r>
      <w:r>
        <w:rPr>
          <w:highlight w:val="none"/>
        </w:rPr>
        <w:fldChar w:fldCharType="separate"/>
      </w:r>
      <w:r>
        <w:rPr>
          <w:rStyle w:val="42"/>
          <w:rFonts w:hint="eastAsia" w:cs="Arial" w:asciiTheme="minorEastAsia" w:hAnsiTheme="minorEastAsia" w:eastAsiaTheme="minorEastAsia"/>
          <w:szCs w:val="21"/>
          <w:highlight w:val="none"/>
        </w:rPr>
        <w:t>第十一部分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基金份额的登记</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11-</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_Toc16237236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6A9E50C8">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"_Toc16237237" </w:instrText>
      </w:r>
      <w:r>
        <w:rPr>
          <w:highlight w:val="none"/>
        </w:rPr>
        <w:fldChar w:fldCharType="separate"/>
      </w:r>
      <w:r>
        <w:rPr>
          <w:rStyle w:val="42"/>
          <w:rFonts w:hint="eastAsia" w:cs="Arial" w:asciiTheme="minorEastAsia" w:hAnsiTheme="minorEastAsia" w:eastAsiaTheme="minorEastAsia"/>
          <w:szCs w:val="21"/>
          <w:highlight w:val="none"/>
        </w:rPr>
        <w:t>第十二部分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基金的投资</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_Toc16237237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41748009">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"_Toc16237238" </w:instrText>
      </w:r>
      <w:r>
        <w:rPr>
          <w:highlight w:val="none"/>
        </w:rPr>
        <w:fldChar w:fldCharType="separate"/>
      </w:r>
      <w:r>
        <w:rPr>
          <w:rStyle w:val="42"/>
          <w:rFonts w:hint="eastAsia" w:cs="Arial" w:asciiTheme="minorEastAsia" w:hAnsiTheme="minorEastAsia" w:eastAsiaTheme="minorEastAsia"/>
          <w:szCs w:val="21"/>
          <w:highlight w:val="none"/>
        </w:rPr>
        <w:t>第十三部分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基金的财产</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13-</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_Toc16237238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2AF226A4">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"_Toc16237239" </w:instrText>
      </w:r>
      <w:r>
        <w:rPr>
          <w:highlight w:val="none"/>
        </w:rPr>
        <w:fldChar w:fldCharType="separate"/>
      </w:r>
      <w:r>
        <w:rPr>
          <w:rStyle w:val="42"/>
          <w:rFonts w:hint="eastAsia" w:cs="Arial" w:asciiTheme="minorEastAsia" w:hAnsiTheme="minorEastAsia" w:eastAsiaTheme="minorEastAsia"/>
          <w:szCs w:val="21"/>
          <w:highlight w:val="none"/>
        </w:rPr>
        <w:t>第十四部分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基金资产估值</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14-</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_Toc16237239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0DDE66C9">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"_Toc16237240" </w:instrText>
      </w:r>
      <w:r>
        <w:rPr>
          <w:highlight w:val="none"/>
        </w:rPr>
        <w:fldChar w:fldCharType="separate"/>
      </w:r>
      <w:r>
        <w:rPr>
          <w:rStyle w:val="42"/>
          <w:rFonts w:hint="eastAsia" w:cs="Arial" w:asciiTheme="minorEastAsia" w:hAnsiTheme="minorEastAsia" w:eastAsiaTheme="minorEastAsia"/>
          <w:szCs w:val="21"/>
          <w:highlight w:val="none"/>
        </w:rPr>
        <w:t>第十五部分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基金费用与税收</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15-</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_Toc16237240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3089DF41">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"_Toc16237241" </w:instrText>
      </w:r>
      <w:r>
        <w:rPr>
          <w:highlight w:val="none"/>
        </w:rPr>
        <w:fldChar w:fldCharType="separate"/>
      </w:r>
      <w:r>
        <w:rPr>
          <w:rStyle w:val="42"/>
          <w:rFonts w:hint="eastAsia" w:cs="Arial" w:asciiTheme="minorEastAsia" w:hAnsiTheme="minorEastAsia" w:eastAsiaTheme="minorEastAsia"/>
          <w:szCs w:val="21"/>
          <w:highlight w:val="none"/>
        </w:rPr>
        <w:t>第十六部分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基金的收益与分配</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16-</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_Toc16237241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0D76E224">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"_Toc16237242" </w:instrText>
      </w:r>
      <w:r>
        <w:rPr>
          <w:highlight w:val="none"/>
        </w:rPr>
        <w:fldChar w:fldCharType="separate"/>
      </w:r>
      <w:r>
        <w:rPr>
          <w:rStyle w:val="42"/>
          <w:rFonts w:hint="eastAsia" w:cs="Arial" w:asciiTheme="minorEastAsia" w:hAnsiTheme="minorEastAsia" w:eastAsiaTheme="minorEastAsia"/>
          <w:szCs w:val="21"/>
          <w:highlight w:val="none"/>
        </w:rPr>
        <w:t>第十七部分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基金的会计</w:t>
      </w:r>
      <w:r>
        <w:rPr>
          <w:rStyle w:val="42"/>
          <w:rFonts w:hint="eastAsia" w:cs="Arial" w:asciiTheme="minorEastAsia" w:hAnsiTheme="minorEastAsia" w:eastAsiaTheme="minorEastAsia"/>
          <w:szCs w:val="21"/>
          <w:highlight w:val="none"/>
        </w:rPr>
        <w:t>和</w:t>
      </w:r>
      <w:r>
        <w:rPr>
          <w:rStyle w:val="42"/>
          <w:rFonts w:hint="eastAsia" w:asciiTheme="minorEastAsia" w:hAnsiTheme="minorEastAsia" w:eastAsiaTheme="minorEastAsia"/>
          <w:szCs w:val="21"/>
          <w:highlight w:val="none"/>
        </w:rPr>
        <w:t>审计</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17-</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_Toc16237242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139641F8">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"_Toc16237243" </w:instrText>
      </w:r>
      <w:r>
        <w:rPr>
          <w:highlight w:val="none"/>
        </w:rPr>
        <w:fldChar w:fldCharType="separate"/>
      </w:r>
      <w:r>
        <w:rPr>
          <w:rStyle w:val="42"/>
          <w:rFonts w:hint="eastAsia" w:cs="Arial" w:asciiTheme="minorEastAsia" w:hAnsiTheme="minorEastAsia" w:eastAsiaTheme="minorEastAsia"/>
          <w:szCs w:val="21"/>
          <w:highlight w:val="none"/>
        </w:rPr>
        <w:t>第十八部分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基金的信息披露</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18-</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_Toc16237243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3F5926AD">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"_Toc16237244" </w:instrText>
      </w:r>
      <w:r>
        <w:rPr>
          <w:highlight w:val="none"/>
        </w:rPr>
        <w:fldChar w:fldCharType="separate"/>
      </w:r>
      <w:r>
        <w:rPr>
          <w:rStyle w:val="42"/>
          <w:rFonts w:hint="eastAsia" w:cs="Arial" w:asciiTheme="minorEastAsia" w:hAnsiTheme="minorEastAsia" w:eastAsiaTheme="minorEastAsia"/>
          <w:szCs w:val="21"/>
          <w:highlight w:val="none"/>
        </w:rPr>
        <w:t>第十九部分</w:t>
      </w:r>
      <w:r>
        <w:rPr>
          <w:rStyle w:val="42"/>
          <w:rFonts w:cs="Arial" w:asciiTheme="minorEastAsia" w:hAnsiTheme="minorEastAsia" w:eastAsiaTheme="minorEastAsia"/>
          <w:szCs w:val="21"/>
          <w:highlight w:val="none"/>
        </w:rPr>
        <w:t xml:space="preserve"> </w:t>
      </w:r>
      <w:r>
        <w:rPr>
          <w:rStyle w:val="42"/>
          <w:rFonts w:hint="eastAsia" w:cs="Arial" w:asciiTheme="minorEastAsia" w:hAnsiTheme="minorEastAsia" w:eastAsiaTheme="minorEastAsia"/>
          <w:szCs w:val="21"/>
          <w:highlight w:val="none"/>
        </w:rPr>
        <w:t>基金合同的变更、终止与基金财产的清算</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19-</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_Toc16237244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2C34D62E">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"_Toc16237245" </w:instrText>
      </w:r>
      <w:r>
        <w:rPr>
          <w:highlight w:val="none"/>
        </w:rPr>
        <w:fldChar w:fldCharType="separate"/>
      </w:r>
      <w:r>
        <w:rPr>
          <w:rStyle w:val="42"/>
          <w:rFonts w:hint="eastAsia" w:cs="Arial" w:asciiTheme="minorEastAsia" w:hAnsiTheme="minorEastAsia" w:eastAsiaTheme="minorEastAsia"/>
          <w:szCs w:val="21"/>
          <w:highlight w:val="none"/>
        </w:rPr>
        <w:t>第二十部分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违约责任</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20-</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_Toc16237245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5C5217D1">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"_Toc16237246" </w:instrText>
      </w:r>
      <w:r>
        <w:rPr>
          <w:highlight w:val="none"/>
        </w:rPr>
        <w:fldChar w:fldCharType="separate"/>
      </w:r>
      <w:r>
        <w:rPr>
          <w:rStyle w:val="42"/>
          <w:rFonts w:hint="eastAsia" w:cs="Arial" w:asciiTheme="minorEastAsia" w:hAnsiTheme="minorEastAsia" w:eastAsiaTheme="minorEastAsia"/>
          <w:szCs w:val="21"/>
          <w:highlight w:val="none"/>
        </w:rPr>
        <w:t>第二十一部分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争议的处理和适用的法律</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21-</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_Toc16237246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00DEB453">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"_Toc16237247" </w:instrText>
      </w:r>
      <w:r>
        <w:rPr>
          <w:highlight w:val="none"/>
        </w:rPr>
        <w:fldChar w:fldCharType="separate"/>
      </w:r>
      <w:r>
        <w:rPr>
          <w:rStyle w:val="42"/>
          <w:rFonts w:hint="eastAsia" w:cs="Arial" w:asciiTheme="minorEastAsia" w:hAnsiTheme="minorEastAsia" w:eastAsiaTheme="minorEastAsia"/>
          <w:szCs w:val="21"/>
          <w:highlight w:val="none"/>
        </w:rPr>
        <w:t>第二十二部分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基金合同的效力</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22-</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_Toc16237247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1E1B201D">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"_Toc16237248" </w:instrText>
      </w:r>
      <w:r>
        <w:rPr>
          <w:highlight w:val="none"/>
        </w:rPr>
        <w:fldChar w:fldCharType="separate"/>
      </w:r>
      <w:r>
        <w:rPr>
          <w:rStyle w:val="42"/>
          <w:rFonts w:hint="eastAsia" w:cs="Arial" w:asciiTheme="minorEastAsia" w:hAnsiTheme="minorEastAsia" w:eastAsiaTheme="minorEastAsia"/>
          <w:szCs w:val="21"/>
          <w:highlight w:val="none"/>
        </w:rPr>
        <w:t>第二十三部分</w:t>
      </w:r>
      <w:r>
        <w:rPr>
          <w:rStyle w:val="42"/>
          <w:rFonts w:cs="Arial"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其他事项</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23-</w:t>
      </w: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PAGEREF _Toc16237248 \h </w:instrText>
      </w:r>
      <w:r>
        <w:rPr>
          <w:rFonts w:asciiTheme="minorEastAsia" w:hAnsiTheme="minorEastAsia" w:eastAsiaTheme="minorEastAsia"/>
          <w:szCs w:val="21"/>
          <w:highlight w:val="none"/>
        </w:rPr>
        <w:fldChar w:fldCharType="separate"/>
      </w:r>
      <w:r>
        <w:rPr>
          <w:rFonts w:asciiTheme="minorEastAsia" w:hAnsiTheme="minorEastAsia" w:eastAsiaTheme="minorEastAsia"/>
          <w:szCs w:val="21"/>
          <w:highlight w:val="none"/>
        </w:rPr>
        <w:t>1</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fldChar w:fldCharType="end"/>
      </w:r>
    </w:p>
    <w:p w14:paraId="1B7BFE4B">
      <w:pPr>
        <w:pStyle w:val="25"/>
        <w:tabs>
          <w:tab w:val="right" w:leader="dot" w:pos="8494"/>
        </w:tabs>
        <w:spacing w:line="360" w:lineRule="auto"/>
        <w:rPr>
          <w:rFonts w:asciiTheme="minorEastAsia" w:hAnsiTheme="minorEastAsia" w:eastAsiaTheme="minorEastAsia" w:cstheme="minorBidi"/>
          <w:szCs w:val="21"/>
          <w:highlight w:val="none"/>
        </w:rPr>
      </w:pPr>
      <w:r>
        <w:rPr>
          <w:highlight w:val="none"/>
        </w:rPr>
        <w:fldChar w:fldCharType="begin"/>
      </w:r>
      <w:r>
        <w:rPr>
          <w:highlight w:val="none"/>
        </w:rPr>
        <w:instrText xml:space="preserve"> HYPERLINK \l "_Toc16237249" </w:instrText>
      </w:r>
      <w:r>
        <w:rPr>
          <w:highlight w:val="none"/>
        </w:rPr>
        <w:fldChar w:fldCharType="separate"/>
      </w:r>
      <w:r>
        <w:rPr>
          <w:rStyle w:val="42"/>
          <w:rFonts w:hint="eastAsia" w:asciiTheme="minorEastAsia" w:hAnsiTheme="minorEastAsia" w:eastAsiaTheme="minorEastAsia"/>
          <w:szCs w:val="21"/>
          <w:highlight w:val="none"/>
        </w:rPr>
        <w:t>第二十四部分</w:t>
      </w:r>
      <w:r>
        <w:rPr>
          <w:rStyle w:val="42"/>
          <w:rFonts w:asciiTheme="minorEastAsia" w:hAnsiTheme="minorEastAsia" w:eastAsiaTheme="minorEastAsia"/>
          <w:szCs w:val="21"/>
          <w:highlight w:val="none"/>
        </w:rPr>
        <w:t xml:space="preserve"> </w:t>
      </w:r>
      <w:r>
        <w:rPr>
          <w:rStyle w:val="42"/>
          <w:rFonts w:hint="eastAsia" w:asciiTheme="minorEastAsia" w:hAnsiTheme="minorEastAsia" w:eastAsiaTheme="minorEastAsia"/>
          <w:szCs w:val="21"/>
          <w:highlight w:val="none"/>
        </w:rPr>
        <w:t>基金合同摘要</w:t>
      </w:r>
      <w:r>
        <w:rPr>
          <w:rFonts w:asciiTheme="minorEastAsia" w:hAnsiTheme="minorEastAsia" w:eastAsiaTheme="minorEastAsia"/>
          <w:szCs w:val="21"/>
          <w:highlight w:val="none"/>
        </w:rPr>
        <w:tab/>
      </w:r>
      <w:r>
        <w:rPr>
          <w:rFonts w:hint="eastAsia" w:asciiTheme="minorEastAsia" w:hAnsiTheme="minorEastAsia" w:eastAsiaTheme="minorEastAsia"/>
          <w:szCs w:val="21"/>
          <w:highlight w:val="none"/>
        </w:rPr>
        <w:t>24-</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1</w:t>
      </w:r>
    </w:p>
    <w:p w14:paraId="6AD353C4">
      <w:pPr>
        <w:adjustRightInd w:val="0"/>
        <w:snapToGrid w:val="0"/>
        <w:spacing w:line="360" w:lineRule="auto"/>
        <w:rPr>
          <w:rFonts w:asciiTheme="minorEastAsia" w:hAnsiTheme="minorEastAsia" w:eastAsiaTheme="minorEastAsia"/>
          <w:highlight w:val="none"/>
        </w:rPr>
        <w:sectPr>
          <w:headerReference r:id="rId5" w:type="default"/>
          <w:pgSz w:w="11906" w:h="16838"/>
          <w:pgMar w:top="1418" w:right="1701" w:bottom="1418" w:left="1701" w:header="851" w:footer="992" w:gutter="0"/>
          <w:pgNumType w:start="1"/>
          <w:cols w:space="425" w:num="1"/>
          <w:formProt w:val="0"/>
          <w:docGrid w:type="lines" w:linePitch="312" w:charSpace="0"/>
        </w:sectPr>
      </w:pPr>
      <w:r>
        <w:rPr>
          <w:rFonts w:asciiTheme="minorEastAsia" w:hAnsiTheme="minorEastAsia" w:eastAsiaTheme="minorEastAsia"/>
          <w:szCs w:val="21"/>
          <w:highlight w:val="none"/>
        </w:rPr>
        <w:fldChar w:fldCharType="end"/>
      </w:r>
    </w:p>
    <w:bookmarkEnd w:id="18"/>
    <w:p w14:paraId="0B4FFC22">
      <w:pPr>
        <w:pStyle w:val="3"/>
        <w:adjustRightInd w:val="0"/>
        <w:snapToGrid w:val="0"/>
        <w:spacing w:before="312" w:beforeLines="100" w:after="0" w:line="360" w:lineRule="auto"/>
        <w:rPr>
          <w:rFonts w:cs="Arial" w:asciiTheme="minorEastAsia" w:hAnsiTheme="minorEastAsia" w:eastAsiaTheme="minorEastAsia"/>
          <w:sz w:val="21"/>
          <w:szCs w:val="21"/>
          <w:highlight w:val="none"/>
        </w:rPr>
      </w:pPr>
      <w:bookmarkStart w:id="36" w:name="CTS_921ae1d3227e4516ae660962f383fade"/>
      <w:bookmarkEnd w:id="36"/>
      <w:bookmarkStart w:id="37" w:name="_Toc90742387"/>
      <w:bookmarkStart w:id="38" w:name="_Toc90742318"/>
      <w:bookmarkStart w:id="39" w:name="CLAUSE_921ae1d3227e4516ae660962f383fade"/>
      <w:r>
        <w:rPr>
          <w:rFonts w:hint="eastAsia" w:cs="Arial" w:asciiTheme="minorEastAsia" w:hAnsiTheme="minorEastAsia" w:eastAsiaTheme="minorEastAsia"/>
          <w:sz w:val="21"/>
          <w:szCs w:val="21"/>
          <w:highlight w:val="none"/>
        </w:rPr>
        <w:t xml:space="preserve"> </w:t>
      </w:r>
      <w:bookmarkStart w:id="40" w:name="_Toc16237226"/>
      <w:r>
        <w:rPr>
          <w:rFonts w:hint="eastAsia" w:cs="Arial" w:asciiTheme="minorEastAsia" w:hAnsiTheme="minorEastAsia" w:eastAsiaTheme="minorEastAsia"/>
          <w:sz w:val="21"/>
          <w:szCs w:val="21"/>
          <w:highlight w:val="none"/>
        </w:rPr>
        <w:t>第一部分 前言</w:t>
      </w:r>
      <w:bookmarkEnd w:id="19"/>
      <w:bookmarkEnd w:id="20"/>
      <w:bookmarkEnd w:id="21"/>
      <w:bookmarkEnd w:id="22"/>
      <w:bookmarkEnd w:id="23"/>
      <w:bookmarkEnd w:id="24"/>
      <w:bookmarkEnd w:id="25"/>
      <w:bookmarkEnd w:id="26"/>
      <w:bookmarkEnd w:id="27"/>
      <w:bookmarkEnd w:id="28"/>
      <w:bookmarkEnd w:id="29"/>
      <w:bookmarkEnd w:id="30"/>
      <w:bookmarkEnd w:id="31"/>
      <w:bookmarkEnd w:id="37"/>
      <w:bookmarkEnd w:id="38"/>
      <w:bookmarkEnd w:id="40"/>
    </w:p>
    <w:bookmarkEnd w:id="32"/>
    <w:bookmarkEnd w:id="33"/>
    <w:bookmarkEnd w:id="34"/>
    <w:p w14:paraId="472AF65C">
      <w:pPr>
        <w:rPr>
          <w:rFonts w:asciiTheme="minorEastAsia" w:hAnsiTheme="minorEastAsia" w:eastAsiaTheme="minorEastAsia"/>
          <w:bCs/>
          <w:highlight w:val="none"/>
        </w:rPr>
      </w:pPr>
      <w:bookmarkStart w:id="41" w:name="_Toc139991731"/>
    </w:p>
    <w:bookmarkEnd w:id="41"/>
    <w:p w14:paraId="5B82F5D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w:t>
      </w:r>
      <w:bookmarkStart w:id="42" w:name="_Toc258829399"/>
      <w:r>
        <w:rPr>
          <w:rFonts w:hint="eastAsia" w:asciiTheme="minorEastAsia" w:hAnsiTheme="minorEastAsia" w:eastAsiaTheme="minorEastAsia"/>
          <w:highlight w:val="none"/>
        </w:rPr>
        <w:t>订立本基金合同的目的、依据和原则</w:t>
      </w:r>
    </w:p>
    <w:p w14:paraId="67A1603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订立本基金合同的目的是保护投资人合法权益，明确基金合同当事人的权利义务，规范基金运作。</w:t>
      </w:r>
    </w:p>
    <w:p w14:paraId="0BA6D90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订立本基金合同的依据是《中华人民共和国民法典》、《中华人民共和国证券投资基金法》</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以下简称</w:t>
      </w:r>
      <w:r>
        <w:rPr>
          <w:rFonts w:asciiTheme="minorEastAsia" w:hAnsiTheme="minorEastAsia" w:eastAsiaTheme="minorEastAsia"/>
          <w:highlight w:val="none"/>
        </w:rPr>
        <w:t>“</w:t>
      </w:r>
      <w:r>
        <w:rPr>
          <w:rFonts w:hint="eastAsia" w:asciiTheme="minorEastAsia" w:hAnsiTheme="minorEastAsia" w:eastAsiaTheme="minorEastAsia"/>
          <w:highlight w:val="none"/>
        </w:rPr>
        <w:t>《基金法》</w:t>
      </w:r>
      <w:r>
        <w:rPr>
          <w:rFonts w:asciiTheme="minorEastAsia" w:hAnsiTheme="minorEastAsia" w:eastAsiaTheme="minorEastAsia"/>
          <w:highlight w:val="none"/>
        </w:rPr>
        <w:t>”</w:t>
      </w:r>
      <w:r>
        <w:rPr>
          <w:rFonts w:hint="eastAsia" w:cs="Arial" w:asciiTheme="minorEastAsia" w:hAnsiTheme="minorEastAsia" w:eastAsiaTheme="minorEastAsia"/>
          <w:szCs w:val="21"/>
          <w:highlight w:val="none"/>
        </w:rPr>
        <w:t>）</w:t>
      </w:r>
      <w:r>
        <w:rPr>
          <w:rFonts w:asciiTheme="minorEastAsia" w:hAnsiTheme="minorEastAsia" w:eastAsiaTheme="minorEastAsia"/>
          <w:highlight w:val="none"/>
        </w:rPr>
        <w:t>、《</w:t>
      </w:r>
      <w:r>
        <w:rPr>
          <w:rFonts w:hint="eastAsia" w:asciiTheme="minorEastAsia" w:hAnsiTheme="minorEastAsia" w:eastAsiaTheme="minorEastAsia"/>
          <w:highlight w:val="none"/>
        </w:rPr>
        <w:t>公开募集</w:t>
      </w:r>
      <w:r>
        <w:rPr>
          <w:rFonts w:asciiTheme="minorEastAsia" w:hAnsiTheme="minorEastAsia" w:eastAsiaTheme="minorEastAsia"/>
          <w:highlight w:val="none"/>
        </w:rPr>
        <w:t>证券投资基金运作管理办法》</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以下简称</w:t>
      </w:r>
      <w:r>
        <w:rPr>
          <w:rFonts w:asciiTheme="minorEastAsia" w:hAnsiTheme="minorEastAsia" w:eastAsiaTheme="minorEastAsia"/>
          <w:highlight w:val="none"/>
        </w:rPr>
        <w:t>“</w:t>
      </w:r>
      <w:r>
        <w:rPr>
          <w:rFonts w:hint="eastAsia" w:asciiTheme="minorEastAsia" w:hAnsiTheme="minorEastAsia" w:eastAsiaTheme="minorEastAsia"/>
          <w:highlight w:val="none"/>
        </w:rPr>
        <w:t>《运作办法》</w:t>
      </w:r>
      <w:r>
        <w:rPr>
          <w:rFonts w:asciiTheme="minorEastAsia" w:hAnsiTheme="minorEastAsia" w:eastAsiaTheme="minorEastAsia"/>
          <w:highlight w:val="none"/>
        </w:rPr>
        <w:t>”</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、《公开募集证券投资基金销售机构监督管理办法》</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以下简称</w:t>
      </w:r>
      <w:r>
        <w:rPr>
          <w:rFonts w:asciiTheme="minorEastAsia" w:hAnsiTheme="minorEastAsia" w:eastAsiaTheme="minorEastAsia"/>
          <w:highlight w:val="none"/>
        </w:rPr>
        <w:t>“</w:t>
      </w:r>
      <w:r>
        <w:rPr>
          <w:rFonts w:hint="eastAsia" w:asciiTheme="minorEastAsia" w:hAnsiTheme="minorEastAsia" w:eastAsiaTheme="minorEastAsia"/>
          <w:highlight w:val="none"/>
        </w:rPr>
        <w:t>《销售办法》</w:t>
      </w:r>
      <w:r>
        <w:rPr>
          <w:rFonts w:asciiTheme="minorEastAsia" w:hAnsiTheme="minorEastAsia" w:eastAsiaTheme="minorEastAsia"/>
          <w:highlight w:val="none"/>
        </w:rPr>
        <w:t>”</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、《公开募集证券投资基金信息披露管理办法》</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以下简称</w:t>
      </w:r>
      <w:r>
        <w:rPr>
          <w:rFonts w:asciiTheme="minorEastAsia" w:hAnsiTheme="minorEastAsia" w:eastAsiaTheme="minorEastAsia"/>
          <w:highlight w:val="none"/>
        </w:rPr>
        <w:t>“</w:t>
      </w:r>
      <w:r>
        <w:rPr>
          <w:rFonts w:hint="eastAsia" w:asciiTheme="minorEastAsia" w:hAnsiTheme="minorEastAsia" w:eastAsiaTheme="minorEastAsia"/>
          <w:highlight w:val="none"/>
        </w:rPr>
        <w:t>《信息披露办法》</w:t>
      </w:r>
      <w:r>
        <w:rPr>
          <w:rFonts w:asciiTheme="minorEastAsia" w:hAnsiTheme="minorEastAsia" w:eastAsiaTheme="minorEastAsia"/>
          <w:highlight w:val="none"/>
        </w:rPr>
        <w:t>”</w:t>
      </w:r>
      <w:r>
        <w:rPr>
          <w:rFonts w:hint="eastAsia" w:asciiTheme="minorEastAsia" w:hAnsiTheme="minorEastAsia" w:eastAsiaTheme="minorEastAsia"/>
          <w:highlight w:val="none"/>
        </w:rPr>
        <w:t>）、《公开募集开放式证券投资基金流动性风险管理规定》（以下简称“《流动性风险管理规定》”）、《公开募集证券投资基金运作指引第2号——基金中基金指引》、《公开募集证券投资基金运作指引第3号——指数基金指引》（以下简称“《指数基金指引》”）和其他有关法律法规。</w:t>
      </w:r>
    </w:p>
    <w:p w14:paraId="49C5226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订立本基金合同的原则是平等自愿、诚实信用、充分保护投资人合法权益。</w:t>
      </w:r>
    </w:p>
    <w:p w14:paraId="57A044C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CAA6DE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9F91215">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三、博时中证金融科技主题交易型开放式指数证券投资基金联接基金（以下简称“基金”或“本基金”）由基金管理人依照《基金法》、基金合同及其他有关规定募集，并经中国证券监督管理委员会</w:t>
      </w:r>
      <w:r>
        <w:rPr>
          <w:rFonts w:asciiTheme="minorEastAsia" w:hAnsiTheme="minorEastAsia" w:eastAsiaTheme="minorEastAsia"/>
          <w:highlight w:val="none"/>
        </w:rPr>
        <w:t>(</w:t>
      </w:r>
      <w:r>
        <w:rPr>
          <w:rFonts w:hint="eastAsia" w:asciiTheme="minorEastAsia" w:hAnsiTheme="minorEastAsia" w:eastAsiaTheme="minorEastAsia"/>
          <w:highlight w:val="none"/>
        </w:rPr>
        <w:t>以下简称“中国证监会”</w:t>
      </w:r>
      <w:r>
        <w:rPr>
          <w:rFonts w:asciiTheme="minorEastAsia" w:hAnsiTheme="minorEastAsia" w:eastAsiaTheme="minorEastAsia"/>
          <w:highlight w:val="none"/>
        </w:rPr>
        <w:t>)</w:t>
      </w:r>
      <w:r>
        <w:rPr>
          <w:rFonts w:hint="eastAsia" w:asciiTheme="minorEastAsia" w:hAnsiTheme="minorEastAsia" w:eastAsiaTheme="minorEastAsia"/>
          <w:highlight w:val="none"/>
        </w:rPr>
        <w:t>注册。</w:t>
      </w:r>
    </w:p>
    <w:p w14:paraId="188416F8">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中国证监会对本基金募集的注册，并不表明其对本基金的投资价值和市场前景做出实质性判断或保证，也不表明投资于本基金没有风险。</w:t>
      </w:r>
    </w:p>
    <w:p w14:paraId="302BE90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基金管理人依照恪尽职守、诚实信用、谨慎勤勉的原则管理和运用基金财产，但不保证投资于本基金一定盈利，也不保证最低收益。</w:t>
      </w:r>
    </w:p>
    <w:p w14:paraId="273D5BA8">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投资者应当认真阅读基金招募说明书、基金合同、基金产品资料概要等信息披露文件，自主判断基金的投资价值，自主做出投资决策，自行承担投资风险。</w:t>
      </w:r>
    </w:p>
    <w:p w14:paraId="3A126D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14:paraId="5CAF7E86">
      <w:pPr>
        <w:adjustRightInd w:val="0"/>
        <w:snapToGrid w:val="0"/>
        <w:spacing w:line="360" w:lineRule="auto"/>
        <w:ind w:firstLine="420" w:firstLineChars="200"/>
        <w:rPr>
          <w:color w:val="000000"/>
          <w:highlight w:val="none"/>
        </w:rPr>
      </w:pPr>
      <w:r>
        <w:rPr>
          <w:rFonts w:hint="eastAsia" w:asciiTheme="minorEastAsia" w:hAnsiTheme="minorEastAsia" w:eastAsiaTheme="minorEastAsia"/>
          <w:highlight w:val="none"/>
        </w:rPr>
        <w:t>五、本基金的投资范围包括存托凭证，除与其他仅投资于境内市场股票的基金所面临的共同风险外，本基金还将面临中国存托凭证价格大幅波动甚至出现较大亏损的风险，以及与中国存托凭证发行机制相关的风险。</w:t>
      </w:r>
    </w:p>
    <w:p w14:paraId="0ECB62EA">
      <w:pPr>
        <w:adjustRightInd w:val="0"/>
        <w:snapToGrid w:val="0"/>
        <w:spacing w:line="360" w:lineRule="auto"/>
        <w:ind w:firstLine="420" w:firstLineChars="200"/>
        <w:rPr>
          <w:highlight w:val="none"/>
        </w:rPr>
      </w:pPr>
      <w:r>
        <w:rPr>
          <w:rFonts w:hint="eastAsia"/>
          <w:color w:val="000000"/>
          <w:highlight w:val="none"/>
        </w:rPr>
        <w:t>六、本基金主要投资于目标E</w:t>
      </w:r>
      <w:r>
        <w:rPr>
          <w:color w:val="000000"/>
          <w:highlight w:val="none"/>
        </w:rPr>
        <w:t>TF</w:t>
      </w:r>
      <w:r>
        <w:rPr>
          <w:rFonts w:hint="eastAsia"/>
          <w:color w:val="000000"/>
          <w:highlight w:val="none"/>
        </w:rPr>
        <w:t>、标的指数成份股和备选成份股票（含存托凭证），投资者投资于本基金面临跟踪误差控制未达约定目标、指数编制机构停止服务、成份股停牌或退市等潜在风险，具体风险详见本基金招募说明书。</w:t>
      </w:r>
    </w:p>
    <w:p w14:paraId="7FEBE521">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七、</w:t>
      </w:r>
      <w:r>
        <w:rPr>
          <w:rFonts w:hint="eastAsia" w:asciiTheme="minorEastAsia" w:hAnsiTheme="minorEastAsia" w:eastAsiaTheme="minorEastAsia"/>
          <w:highlight w:val="none"/>
        </w:rPr>
        <w:t>基金管理人、基金托管人在本基金合同之外披露涉及本基金的信息，其内容涉及界定基金合同当事人之间权利义务关系的，如与基金合同有冲突，以基金合同为准。</w:t>
      </w:r>
    </w:p>
    <w:p w14:paraId="7BE2B29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八、本基金按照中国法律法规成立并运作，若基金合同的内容与届时有效的法律法规的强制性规定不一致，应当以届时有效的法律法规的规定为准。</w:t>
      </w:r>
    </w:p>
    <w:p w14:paraId="48DA6072">
      <w:pPr>
        <w:pStyle w:val="3"/>
        <w:adjustRightInd w:val="0"/>
        <w:snapToGrid w:val="0"/>
        <w:spacing w:before="0" w:after="0" w:line="360" w:lineRule="auto"/>
        <w:jc w:val="both"/>
        <w:rPr>
          <w:rFonts w:cs="Arial" w:asciiTheme="minorEastAsia" w:hAnsiTheme="minorEastAsia" w:eastAsiaTheme="minorEastAsia"/>
          <w:sz w:val="21"/>
          <w:szCs w:val="21"/>
          <w:highlight w:val="none"/>
        </w:rPr>
        <w:sectPr>
          <w:footerReference r:id="rId6" w:type="default"/>
          <w:pgSz w:w="11906" w:h="16838"/>
          <w:pgMar w:top="1418" w:right="1701" w:bottom="1418" w:left="1701" w:header="851" w:footer="992" w:gutter="0"/>
          <w:pgNumType w:start="1"/>
          <w:cols w:space="425" w:num="1"/>
          <w:formProt w:val="0"/>
          <w:docGrid w:type="lines" w:linePitch="312" w:charSpace="0"/>
        </w:sectPr>
      </w:pPr>
      <w:bookmarkStart w:id="43" w:name="_Toc13020"/>
      <w:bookmarkStart w:id="44" w:name="_Toc2465"/>
      <w:bookmarkStart w:id="45" w:name="_Toc31551"/>
      <w:bookmarkStart w:id="46" w:name="_Toc819"/>
      <w:bookmarkStart w:id="47" w:name="_Toc19592"/>
      <w:bookmarkStart w:id="48" w:name="_Toc24860"/>
      <w:bookmarkStart w:id="49" w:name="_Toc3224"/>
      <w:bookmarkStart w:id="50" w:name="_Toc21301"/>
      <w:bookmarkStart w:id="51" w:name="_Toc90742388"/>
      <w:bookmarkStart w:id="52" w:name="_Toc15067"/>
      <w:bookmarkStart w:id="53" w:name="_Toc6617"/>
      <w:bookmarkStart w:id="54" w:name="_Toc90742319"/>
      <w:bookmarkStart w:id="55" w:name="_Toc22864"/>
    </w:p>
    <w:bookmarkEnd w:id="39"/>
    <w:p w14:paraId="2EC7F509">
      <w:pPr>
        <w:pStyle w:val="3"/>
        <w:adjustRightInd w:val="0"/>
        <w:snapToGrid w:val="0"/>
        <w:spacing w:before="312" w:beforeLines="100" w:after="0" w:line="360" w:lineRule="auto"/>
        <w:rPr>
          <w:rFonts w:cs="Arial" w:asciiTheme="minorEastAsia" w:hAnsiTheme="minorEastAsia" w:eastAsiaTheme="minorEastAsia"/>
          <w:sz w:val="21"/>
          <w:szCs w:val="21"/>
          <w:highlight w:val="none"/>
        </w:rPr>
      </w:pPr>
      <w:bookmarkStart w:id="56" w:name="CLAUSE_b505ca21cfdc49e18b4541023d6e908f"/>
      <w:r>
        <w:rPr>
          <w:rFonts w:cs="Arial" w:asciiTheme="minorEastAsia" w:hAnsiTheme="minorEastAsia" w:eastAsiaTheme="minorEastAsia"/>
          <w:sz w:val="21"/>
          <w:szCs w:val="21"/>
          <w:highlight w:val="none"/>
        </w:rPr>
        <w:t xml:space="preserve"> </w:t>
      </w:r>
      <w:bookmarkStart w:id="57" w:name="CTS_b505ca21cfdc49e18b4541023d6e908f"/>
      <w:bookmarkEnd w:id="57"/>
      <w:bookmarkStart w:id="58" w:name="_Toc16237227"/>
      <w:r>
        <w:rPr>
          <w:rFonts w:hint="eastAsia" w:cs="Arial" w:asciiTheme="minorEastAsia" w:hAnsiTheme="minorEastAsia" w:eastAsiaTheme="minorEastAsia"/>
          <w:sz w:val="21"/>
          <w:szCs w:val="21"/>
          <w:highlight w:val="none"/>
        </w:rPr>
        <w:t>第</w:t>
      </w:r>
      <w:r>
        <w:rPr>
          <w:rFonts w:cs="Arial" w:asciiTheme="minorEastAsia" w:hAnsiTheme="minorEastAsia" w:eastAsiaTheme="minorEastAsia"/>
          <w:sz w:val="21"/>
          <w:szCs w:val="21"/>
          <w:highlight w:val="none"/>
        </w:rPr>
        <w:t>二</w:t>
      </w:r>
      <w:r>
        <w:rPr>
          <w:rFonts w:hint="eastAsia" w:cs="Arial" w:asciiTheme="minorEastAsia" w:hAnsiTheme="minorEastAsia" w:eastAsiaTheme="minorEastAsia"/>
          <w:sz w:val="21"/>
          <w:szCs w:val="21"/>
          <w:highlight w:val="none"/>
        </w:rPr>
        <w:t>部分 释义</w:t>
      </w:r>
      <w:bookmarkEnd w:id="3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8"/>
    </w:p>
    <w:p w14:paraId="12827E7B">
      <w:pPr>
        <w:autoSpaceDE w:val="0"/>
        <w:autoSpaceDN w:val="0"/>
        <w:adjustRightInd w:val="0"/>
        <w:spacing w:line="360" w:lineRule="auto"/>
        <w:ind w:firstLine="420" w:firstLineChars="200"/>
        <w:rPr>
          <w:rFonts w:asciiTheme="minorEastAsia" w:hAnsiTheme="minorEastAsia" w:eastAsiaTheme="minorEastAsia"/>
          <w:bCs/>
          <w:highlight w:val="none"/>
        </w:rPr>
      </w:pPr>
    </w:p>
    <w:p w14:paraId="08D1DDD9">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asciiTheme="minorEastAsia" w:hAnsiTheme="minorEastAsia" w:eastAsiaTheme="minorEastAsia"/>
          <w:highlight w:val="none"/>
        </w:rPr>
        <w:t>在本基金合同中，除非文意另有所指，下列词语或简称具有如下含义：</w:t>
      </w:r>
    </w:p>
    <w:p w14:paraId="358577D8">
      <w:pPr>
        <w:adjustRightInd w:val="0"/>
        <w:snapToGrid w:val="0"/>
        <w:spacing w:line="360" w:lineRule="auto"/>
        <w:ind w:firstLine="420" w:firstLineChars="200"/>
        <w:rPr>
          <w:rFonts w:asciiTheme="minorEastAsia" w:hAnsiTheme="minorEastAsia" w:eastAsiaTheme="minorEastAsia"/>
          <w:spacing w:val="8"/>
          <w:highlight w:val="none"/>
        </w:rPr>
      </w:pPr>
      <w:r>
        <w:rPr>
          <w:rFonts w:asciiTheme="minorEastAsia" w:hAnsiTheme="minorEastAsia" w:eastAsiaTheme="minorEastAsia"/>
          <w:highlight w:val="none"/>
        </w:rPr>
        <w:t>1</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基金或本基金：指</w:t>
      </w:r>
      <w:r>
        <w:rPr>
          <w:rFonts w:hint="eastAsia" w:cs="Arial" w:asciiTheme="minorEastAsia" w:hAnsiTheme="minorEastAsia" w:eastAsiaTheme="minorEastAsia"/>
          <w:szCs w:val="21"/>
          <w:highlight w:val="none"/>
        </w:rPr>
        <w:t>博时中证金融科技主题交易型开放式指数证券投资基金联接基金</w:t>
      </w:r>
    </w:p>
    <w:p w14:paraId="439DCD7F">
      <w:pPr>
        <w:adjustRightInd w:val="0"/>
        <w:snapToGrid w:val="0"/>
        <w:spacing w:line="360" w:lineRule="auto"/>
        <w:ind w:firstLine="420" w:firstLineChars="200"/>
        <w:rPr>
          <w:rFonts w:asciiTheme="minorEastAsia" w:hAnsiTheme="minorEastAsia" w:eastAsiaTheme="minorEastAsia"/>
          <w:spacing w:val="8"/>
          <w:highlight w:val="none"/>
        </w:rPr>
      </w:pPr>
      <w:r>
        <w:rPr>
          <w:rFonts w:asciiTheme="minorEastAsia" w:hAnsiTheme="minorEastAsia" w:eastAsiaTheme="minorEastAsia"/>
          <w:highlight w:val="none"/>
        </w:rPr>
        <w:t>2</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基金管理人：指</w:t>
      </w:r>
      <w:r>
        <w:rPr>
          <w:rFonts w:cs="Arial" w:asciiTheme="minorEastAsia" w:hAnsiTheme="minorEastAsia" w:eastAsiaTheme="minorEastAsia"/>
          <w:szCs w:val="21"/>
          <w:highlight w:val="none"/>
        </w:rPr>
        <w:t>博时基金管理有限公司</w:t>
      </w:r>
    </w:p>
    <w:p w14:paraId="214454F8">
      <w:pPr>
        <w:adjustRightInd w:val="0"/>
        <w:snapToGrid w:val="0"/>
        <w:spacing w:line="360" w:lineRule="auto"/>
        <w:ind w:firstLine="420" w:firstLineChars="200"/>
        <w:rPr>
          <w:rFonts w:asciiTheme="minorEastAsia" w:hAnsiTheme="minorEastAsia" w:eastAsiaTheme="minorEastAsia"/>
          <w:spacing w:val="8"/>
          <w:highlight w:val="none"/>
        </w:rPr>
      </w:pPr>
      <w:r>
        <w:rPr>
          <w:rFonts w:asciiTheme="minorEastAsia" w:hAnsiTheme="minorEastAsia" w:eastAsiaTheme="minorEastAsia"/>
          <w:highlight w:val="none"/>
        </w:rPr>
        <w:t>3</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基金托管人：指中国建设银行股份有限公司</w:t>
      </w:r>
    </w:p>
    <w:p w14:paraId="306A9B8D">
      <w:pPr>
        <w:adjustRightInd w:val="0"/>
        <w:snapToGrid w:val="0"/>
        <w:spacing w:line="360" w:lineRule="auto"/>
        <w:ind w:firstLine="420" w:firstLineChars="200"/>
        <w:rPr>
          <w:rFonts w:asciiTheme="minorEastAsia" w:hAnsiTheme="minorEastAsia" w:eastAsiaTheme="minorEastAsia"/>
          <w:spacing w:val="8"/>
          <w:highlight w:val="none"/>
        </w:rPr>
      </w:pPr>
      <w:r>
        <w:rPr>
          <w:rFonts w:asciiTheme="minorEastAsia" w:hAnsiTheme="minorEastAsia" w:eastAsiaTheme="minorEastAsia"/>
          <w:highlight w:val="none"/>
        </w:rPr>
        <w:t>4</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基金合同或本基金合同：指</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博时中证金融科技主题交易型开放式指数证券投资基金联接基金</w:t>
      </w:r>
      <w:r>
        <w:rPr>
          <w:rFonts w:cs="Arial" w:asciiTheme="minorEastAsia" w:hAnsiTheme="minorEastAsia" w:eastAsiaTheme="minorEastAsia"/>
          <w:szCs w:val="21"/>
          <w:highlight w:val="none"/>
        </w:rPr>
        <w:t>基金合同》</w:t>
      </w:r>
      <w:r>
        <w:rPr>
          <w:rFonts w:hint="eastAsia" w:asciiTheme="minorEastAsia" w:hAnsiTheme="minorEastAsia" w:eastAsiaTheme="minorEastAsia"/>
          <w:highlight w:val="none"/>
        </w:rPr>
        <w:t>及对本基金合同的任何有效修订和补充</w:t>
      </w:r>
    </w:p>
    <w:p w14:paraId="4159FD08">
      <w:pPr>
        <w:adjustRightInd w:val="0"/>
        <w:snapToGrid w:val="0"/>
        <w:spacing w:line="360" w:lineRule="auto"/>
        <w:ind w:firstLine="420" w:firstLineChars="200"/>
        <w:rPr>
          <w:rFonts w:asciiTheme="minorEastAsia" w:hAnsiTheme="minorEastAsia" w:eastAsiaTheme="minorEastAsia"/>
          <w:spacing w:val="8"/>
          <w:highlight w:val="none"/>
        </w:rPr>
      </w:pPr>
      <w:r>
        <w:rPr>
          <w:rFonts w:asciiTheme="minorEastAsia" w:hAnsiTheme="minorEastAsia" w:eastAsiaTheme="minorEastAsia"/>
          <w:highlight w:val="none"/>
        </w:rPr>
        <w:t>5</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托管协议：指基金管理人与基金托管人就本基金签订之</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博时中证金融科技主题交易型开放式指数证券投资基金联接基金</w:t>
      </w:r>
      <w:r>
        <w:rPr>
          <w:rFonts w:cs="Arial" w:asciiTheme="minorEastAsia" w:hAnsiTheme="minorEastAsia" w:eastAsiaTheme="minorEastAsia"/>
          <w:szCs w:val="21"/>
          <w:highlight w:val="none"/>
        </w:rPr>
        <w:t>托管协议》</w:t>
      </w:r>
      <w:r>
        <w:rPr>
          <w:rFonts w:hint="eastAsia" w:asciiTheme="minorEastAsia" w:hAnsiTheme="minorEastAsia" w:eastAsiaTheme="minorEastAsia"/>
          <w:highlight w:val="none"/>
        </w:rPr>
        <w:t>及对该托管协议的任何有效修订和补充</w:t>
      </w:r>
    </w:p>
    <w:p w14:paraId="3065F37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招募说明书：指</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博时中证金融科技主题交易型开放式指数证券投资基金联接基金</w:t>
      </w:r>
      <w:r>
        <w:rPr>
          <w:rFonts w:cs="Arial" w:asciiTheme="minorEastAsia" w:hAnsiTheme="minorEastAsia" w:eastAsiaTheme="minorEastAsia"/>
          <w:szCs w:val="21"/>
          <w:highlight w:val="none"/>
        </w:rPr>
        <w:t>招募说明书》</w:t>
      </w:r>
      <w:r>
        <w:rPr>
          <w:rFonts w:hint="eastAsia" w:asciiTheme="minorEastAsia" w:hAnsiTheme="minorEastAsia" w:eastAsiaTheme="minorEastAsia"/>
          <w:highlight w:val="none"/>
        </w:rPr>
        <w:t>及其更新</w:t>
      </w:r>
    </w:p>
    <w:p w14:paraId="1DA7246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7.基金产品资料概要：指《博时中证金融科技主题交易型开放式指数证券投资基金联接基金基金产品资料概要》及其更新</w:t>
      </w:r>
    </w:p>
    <w:p w14:paraId="556A0355">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asciiTheme="minorEastAsia" w:hAnsiTheme="minorEastAsia" w:eastAsiaTheme="minorEastAsia"/>
          <w:highlight w:val="none"/>
        </w:rPr>
        <w:t>8</w:t>
      </w:r>
      <w:r>
        <w:rPr>
          <w:rFonts w:asciiTheme="minorEastAsia" w:hAnsiTheme="minorEastAsia" w:eastAsiaTheme="minorEastAsia"/>
          <w:highlight w:val="none"/>
        </w:rPr>
        <w:t>.基金份额发售公告：指《</w:t>
      </w:r>
      <w:r>
        <w:rPr>
          <w:rFonts w:hint="eastAsia" w:cs="Arial" w:asciiTheme="minorEastAsia" w:hAnsiTheme="minorEastAsia" w:eastAsiaTheme="minorEastAsia"/>
          <w:szCs w:val="21"/>
          <w:highlight w:val="none"/>
        </w:rPr>
        <w:t>博时中证金融科技主题交易型开放式指数证券投资基金联接基金</w:t>
      </w:r>
      <w:r>
        <w:rPr>
          <w:rFonts w:hint="eastAsia" w:asciiTheme="minorEastAsia" w:hAnsiTheme="minorEastAsia" w:eastAsiaTheme="minorEastAsia"/>
          <w:highlight w:val="none"/>
        </w:rPr>
        <w:t>基金份额发售公告》</w:t>
      </w:r>
    </w:p>
    <w:p w14:paraId="7CD85E0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法律法规：指中国现行有效并公布实施的法律、行政法规、规范性文件、司法解释、行政规章以及其他对基金合同当事人有约束力的决定、决议、通知等</w:t>
      </w:r>
    </w:p>
    <w:p w14:paraId="77F3CF6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《基金法》：指</w:t>
      </w:r>
      <w:r>
        <w:rPr>
          <w:rFonts w:asciiTheme="minorEastAsia" w:hAnsiTheme="minorEastAsia" w:eastAsiaTheme="minorEastAsia"/>
          <w:highlight w:val="none"/>
        </w:rPr>
        <w:t>2003</w:t>
      </w:r>
      <w:r>
        <w:rPr>
          <w:rFonts w:hint="eastAsia" w:asciiTheme="minorEastAsia" w:hAnsiTheme="minorEastAsia" w:eastAsiaTheme="minorEastAsia"/>
          <w:highlight w:val="none"/>
        </w:rPr>
        <w:t>年</w:t>
      </w:r>
      <w:r>
        <w:rPr>
          <w:rFonts w:asciiTheme="minorEastAsia" w:hAnsiTheme="minorEastAsia" w:eastAsiaTheme="minorEastAsia"/>
          <w:highlight w:val="none"/>
        </w:rPr>
        <w:t>10</w:t>
      </w:r>
      <w:r>
        <w:rPr>
          <w:rFonts w:hint="eastAsia" w:asciiTheme="minorEastAsia" w:hAnsiTheme="minorEastAsia" w:eastAsiaTheme="minorEastAsia"/>
          <w:highlight w:val="none"/>
        </w:rPr>
        <w:t>月</w:t>
      </w:r>
      <w:r>
        <w:rPr>
          <w:rFonts w:asciiTheme="minorEastAsia" w:hAnsiTheme="minorEastAsia" w:eastAsiaTheme="minorEastAsia"/>
          <w:highlight w:val="none"/>
        </w:rPr>
        <w:t>28</w:t>
      </w:r>
      <w:r>
        <w:rPr>
          <w:rFonts w:hint="eastAsia" w:asciiTheme="minorEastAsia" w:hAnsiTheme="minorEastAsia" w:eastAsiaTheme="minorEastAsia"/>
          <w:highlight w:val="none"/>
        </w:rPr>
        <w:t>日经第十届全国人民代表大会常务委员会第五次会议通过，经2012年12月28日第十一届全国人民代表大会常务委员会第三十次会议修订，自2013年6月1日起实施</w:t>
      </w:r>
      <w:r>
        <w:rPr>
          <w:rFonts w:hint="eastAsia" w:cs="Arial" w:asciiTheme="minorEastAsia" w:hAnsiTheme="minorEastAsia" w:eastAsiaTheme="minorEastAsia"/>
          <w:szCs w:val="21"/>
          <w:highlight w:val="none"/>
        </w:rPr>
        <w:t>，并经2015年4月24日第十二届全国人民代表大会常务委员会第十四次会议《全国人民代表大会常务委员会关于修改</w:t>
      </w:r>
      <w:r>
        <w:rPr>
          <w:rFonts w:cs="Arial" w:asciiTheme="minorEastAsia" w:hAnsiTheme="minorEastAsia" w:eastAsiaTheme="minorEastAsia"/>
          <w:szCs w:val="21"/>
          <w:highlight w:val="none"/>
        </w:rPr>
        <w:t>&lt;</w:t>
      </w:r>
      <w:r>
        <w:rPr>
          <w:rFonts w:hint="eastAsia" w:cs="Arial" w:asciiTheme="minorEastAsia" w:hAnsiTheme="minorEastAsia" w:eastAsiaTheme="minorEastAsia"/>
          <w:szCs w:val="21"/>
          <w:highlight w:val="none"/>
        </w:rPr>
        <w:t>中华人民共和国港口法</w:t>
      </w:r>
      <w:r>
        <w:rPr>
          <w:rFonts w:cs="Arial" w:asciiTheme="minorEastAsia" w:hAnsiTheme="minorEastAsia" w:eastAsiaTheme="minorEastAsia"/>
          <w:szCs w:val="21"/>
          <w:highlight w:val="none"/>
        </w:rPr>
        <w:t>&gt;</w:t>
      </w:r>
      <w:r>
        <w:rPr>
          <w:rFonts w:hint="eastAsia" w:cs="Arial" w:asciiTheme="minorEastAsia" w:hAnsiTheme="minorEastAsia" w:eastAsiaTheme="minorEastAsia"/>
          <w:szCs w:val="21"/>
          <w:highlight w:val="none"/>
        </w:rPr>
        <w:t>等七部法律的决定》修正</w:t>
      </w:r>
      <w:r>
        <w:rPr>
          <w:rFonts w:hint="eastAsia" w:asciiTheme="minorEastAsia" w:hAnsiTheme="minorEastAsia" w:eastAsiaTheme="minorEastAsia"/>
          <w:highlight w:val="none"/>
        </w:rPr>
        <w:t>的《中华人民共和国证券投资基金法》及颁布机关对其不时做出的修订</w:t>
      </w:r>
    </w:p>
    <w:p w14:paraId="6D124D7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《销售办法》：指中国证监会2020年8月28日颁布、同年10月</w:t>
      </w:r>
      <w:r>
        <w:rPr>
          <w:rFonts w:asciiTheme="minorEastAsia" w:hAnsiTheme="minorEastAsia" w:eastAsiaTheme="minorEastAsia"/>
          <w:highlight w:val="none"/>
        </w:rPr>
        <w:t>1</w:t>
      </w:r>
      <w:r>
        <w:rPr>
          <w:rFonts w:hint="eastAsia" w:asciiTheme="minorEastAsia" w:hAnsiTheme="minorEastAsia" w:eastAsiaTheme="minorEastAsia"/>
          <w:highlight w:val="none"/>
        </w:rPr>
        <w:t>日实施的《公开募集证券投资基金销售机构监督管理办法》及颁布机关对其不时做出的修订</w:t>
      </w:r>
    </w:p>
    <w:p w14:paraId="4FAD877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12</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《信息披露办法》：指中国证监会</w:t>
      </w:r>
      <w:r>
        <w:rPr>
          <w:rFonts w:asciiTheme="minorEastAsia" w:hAnsiTheme="minorEastAsia" w:eastAsiaTheme="minorEastAsia"/>
          <w:highlight w:val="none"/>
        </w:rPr>
        <w:t>20</w:t>
      </w:r>
      <w:r>
        <w:rPr>
          <w:rFonts w:hint="eastAsia" w:asciiTheme="minorEastAsia" w:hAnsiTheme="minorEastAsia" w:eastAsiaTheme="minorEastAsia"/>
          <w:highlight w:val="none"/>
        </w:rPr>
        <w:t>19年7月26日颁布、同年9月</w:t>
      </w:r>
      <w:r>
        <w:rPr>
          <w:rFonts w:asciiTheme="minorEastAsia" w:hAnsiTheme="minorEastAsia" w:eastAsiaTheme="minorEastAsia"/>
          <w:highlight w:val="none"/>
        </w:rPr>
        <w:t>1</w:t>
      </w:r>
      <w:r>
        <w:rPr>
          <w:rFonts w:hint="eastAsia" w:asciiTheme="minorEastAsia" w:hAnsiTheme="minorEastAsia" w:eastAsiaTheme="minorEastAsia"/>
          <w:highlight w:val="none"/>
        </w:rPr>
        <w:t>日实施的</w:t>
      </w:r>
      <w:r>
        <w:rPr>
          <w:rFonts w:hint="eastAsia" w:asciiTheme="minorEastAsia" w:hAnsiTheme="minorEastAsia" w:eastAsiaTheme="minorEastAsia"/>
          <w:bCs/>
          <w:highlight w:val="none"/>
        </w:rPr>
        <w:t>，并经2020年3月20日中国证监会《关于修改部分证券期货规章的决定》修正的</w:t>
      </w:r>
      <w:r>
        <w:rPr>
          <w:rFonts w:hint="eastAsia" w:asciiTheme="minorEastAsia" w:hAnsiTheme="minorEastAsia" w:eastAsiaTheme="minorEastAsia"/>
          <w:highlight w:val="none"/>
        </w:rPr>
        <w:t>《公开募集证券投资基金信息披露管理办法》及颁布机关对其不时做出的修订</w:t>
      </w:r>
    </w:p>
    <w:p w14:paraId="208A03C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13</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《运作办法》：指中国证监会2014年7月7日颁布、同年8月8日实施的《公开募集证券投资基金运作管理办法》及颁布机关对其不时做出的修订</w:t>
      </w:r>
    </w:p>
    <w:p w14:paraId="6767C788">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asciiTheme="minorEastAsia" w:hAnsiTheme="minorEastAsia" w:eastAsiaTheme="minorEastAsia"/>
          <w:highlight w:val="none"/>
        </w:rPr>
        <w:t>14</w:t>
      </w:r>
      <w:r>
        <w:rPr>
          <w:rFonts w:hint="eastAsia" w:cs="Arial" w:asciiTheme="minorEastAsia" w:hAnsiTheme="minorEastAsia" w:eastAsiaTheme="minorEastAsia"/>
          <w:szCs w:val="21"/>
          <w:highlight w:val="none"/>
        </w:rPr>
        <w:t>．《流动性风险管理规定》：指中国证监会</w:t>
      </w:r>
      <w:r>
        <w:rPr>
          <w:rFonts w:cs="Arial" w:asciiTheme="minorEastAsia" w:hAnsiTheme="minorEastAsia" w:eastAsiaTheme="minorEastAsia"/>
          <w:szCs w:val="21"/>
          <w:highlight w:val="none"/>
        </w:rPr>
        <w:t>2017</w:t>
      </w:r>
      <w:r>
        <w:rPr>
          <w:rFonts w:hint="eastAsia" w:cs="Arial" w:asciiTheme="minorEastAsia" w:hAnsiTheme="minorEastAsia" w:eastAsiaTheme="minorEastAsia"/>
          <w:szCs w:val="21"/>
          <w:highlight w:val="none"/>
        </w:rPr>
        <w:t>年</w:t>
      </w:r>
      <w:r>
        <w:rPr>
          <w:rFonts w:cs="Arial" w:asciiTheme="minorEastAsia" w:hAnsiTheme="minorEastAsia" w:eastAsiaTheme="minorEastAsia"/>
          <w:szCs w:val="21"/>
          <w:highlight w:val="none"/>
        </w:rPr>
        <w:t>8</w:t>
      </w:r>
      <w:r>
        <w:rPr>
          <w:rFonts w:hint="eastAsia" w:cs="Arial" w:asciiTheme="minorEastAsia" w:hAnsiTheme="minorEastAsia" w:eastAsiaTheme="minorEastAsia"/>
          <w:szCs w:val="21"/>
          <w:highlight w:val="none"/>
        </w:rPr>
        <w:t>月</w:t>
      </w:r>
      <w:r>
        <w:rPr>
          <w:rFonts w:cs="Arial" w:asciiTheme="minorEastAsia" w:hAnsiTheme="minorEastAsia" w:eastAsiaTheme="minorEastAsia"/>
          <w:szCs w:val="21"/>
          <w:highlight w:val="none"/>
        </w:rPr>
        <w:t>31</w:t>
      </w:r>
      <w:r>
        <w:rPr>
          <w:rFonts w:hint="eastAsia" w:cs="Arial" w:asciiTheme="minorEastAsia" w:hAnsiTheme="minorEastAsia" w:eastAsiaTheme="minorEastAsia"/>
          <w:szCs w:val="21"/>
          <w:highlight w:val="none"/>
        </w:rPr>
        <w:t>日颁布、同年</w:t>
      </w:r>
      <w:r>
        <w:rPr>
          <w:rFonts w:cs="Arial" w:asciiTheme="minorEastAsia" w:hAnsiTheme="minorEastAsia" w:eastAsiaTheme="minorEastAsia"/>
          <w:szCs w:val="21"/>
          <w:highlight w:val="none"/>
        </w:rPr>
        <w:t>10</w:t>
      </w:r>
      <w:r>
        <w:rPr>
          <w:rFonts w:hint="eastAsia" w:cs="Arial" w:asciiTheme="minorEastAsia" w:hAnsiTheme="minorEastAsia" w:eastAsiaTheme="minorEastAsia"/>
          <w:szCs w:val="21"/>
          <w:highlight w:val="none"/>
        </w:rPr>
        <w:t>月</w:t>
      </w:r>
      <w:r>
        <w:rPr>
          <w:rFonts w:cs="Arial" w:asciiTheme="minorEastAsia" w:hAnsiTheme="minorEastAsia" w:eastAsiaTheme="minorEastAsia"/>
          <w:szCs w:val="21"/>
          <w:highlight w:val="none"/>
        </w:rPr>
        <w:t>1</w:t>
      </w:r>
      <w:r>
        <w:rPr>
          <w:rFonts w:hint="eastAsia" w:cs="Arial" w:asciiTheme="minorEastAsia" w:hAnsiTheme="minorEastAsia" w:eastAsiaTheme="minorEastAsia"/>
          <w:szCs w:val="21"/>
          <w:highlight w:val="none"/>
        </w:rPr>
        <w:t>日实施的《公开募集开放式证券投资基金流动性风险管理规定》及颁布机关对其不时做出的修订</w:t>
      </w:r>
    </w:p>
    <w:p w14:paraId="26879AE4">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15.《指数基金指引》：指中国证监会2021年 1月22日颁布、同年2月1日实施的《公开募集证券投资基金运作指引第3号——指数基金指引》及颁布机关对其不时做出的修订</w:t>
      </w:r>
    </w:p>
    <w:p w14:paraId="4059F5AF">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16</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中国证监会：指中国证券监督管理委员会</w:t>
      </w:r>
    </w:p>
    <w:p w14:paraId="7A8B5780">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1</w:t>
      </w:r>
      <w:r>
        <w:rPr>
          <w:rFonts w:cs="Arial" w:asciiTheme="minorEastAsia" w:hAnsiTheme="minorEastAsia" w:eastAsiaTheme="minorEastAsia"/>
          <w:szCs w:val="21"/>
          <w:highlight w:val="none"/>
        </w:rPr>
        <w:t>7.</w:t>
      </w:r>
      <w:r>
        <w:rPr>
          <w:rFonts w:hint="eastAsia" w:cs="Arial" w:asciiTheme="minorEastAsia" w:hAnsiTheme="minorEastAsia" w:eastAsiaTheme="minorEastAsia"/>
          <w:szCs w:val="21"/>
          <w:highlight w:val="none"/>
        </w:rPr>
        <w:t>银行业监督管理机构：指中国人民银行和/或国家金融监督管理总局等对银行业金融机构进行监督和管理的机构</w:t>
      </w:r>
    </w:p>
    <w:p w14:paraId="0A2D0177">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1</w:t>
      </w:r>
      <w:r>
        <w:rPr>
          <w:rFonts w:cs="Arial" w:asciiTheme="minorEastAsia" w:hAnsiTheme="minorEastAsia" w:eastAsiaTheme="minorEastAsia"/>
          <w:szCs w:val="21"/>
          <w:highlight w:val="none"/>
        </w:rPr>
        <w:t>8.</w:t>
      </w:r>
      <w:r>
        <w:rPr>
          <w:rFonts w:hint="eastAsia" w:asciiTheme="minorEastAsia" w:hAnsiTheme="minorEastAsia" w:eastAsiaTheme="minorEastAsia"/>
          <w:highlight w:val="none"/>
        </w:rPr>
        <w:t>基金合同当事人：指受基金合同约束，根据基金合同享有权利并承担义务的法律主体，包括基金管理人、基金托管人和基金份额持有人</w:t>
      </w:r>
    </w:p>
    <w:p w14:paraId="741630BE">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1</w:t>
      </w:r>
      <w:r>
        <w:rPr>
          <w:rFonts w:cs="Arial" w:asciiTheme="minorEastAsia" w:hAnsiTheme="minorEastAsia" w:eastAsiaTheme="minorEastAsia"/>
          <w:szCs w:val="21"/>
          <w:highlight w:val="none"/>
        </w:rPr>
        <w:t>9.</w:t>
      </w:r>
      <w:r>
        <w:rPr>
          <w:rFonts w:hint="eastAsia" w:asciiTheme="minorEastAsia" w:hAnsiTheme="minorEastAsia" w:eastAsiaTheme="minorEastAsia"/>
          <w:highlight w:val="none"/>
        </w:rPr>
        <w:t>个人投资者：指依据有关法律法规规定可投资于证券投资基金的自然人</w:t>
      </w:r>
    </w:p>
    <w:p w14:paraId="0DB0919E">
      <w:pPr>
        <w:adjustRightInd w:val="0"/>
        <w:snapToGrid w:val="0"/>
        <w:spacing w:line="360" w:lineRule="auto"/>
        <w:ind w:firstLine="420" w:firstLineChars="200"/>
        <w:rPr>
          <w:rFonts w:asciiTheme="minorEastAsia" w:hAnsiTheme="minorEastAsia" w:eastAsiaTheme="minorEastAsia"/>
          <w:highlight w:val="none"/>
        </w:rPr>
      </w:pPr>
      <w:r>
        <w:rPr>
          <w:rFonts w:cs="Arial" w:asciiTheme="minorEastAsia" w:hAnsiTheme="minorEastAsia" w:eastAsiaTheme="minorEastAsia"/>
          <w:szCs w:val="21"/>
          <w:highlight w:val="none"/>
        </w:rPr>
        <w:t>20.</w:t>
      </w:r>
      <w:r>
        <w:rPr>
          <w:rFonts w:hint="eastAsia" w:asciiTheme="minorEastAsia" w:hAnsiTheme="minorEastAsia" w:eastAsiaTheme="minorEastAsia"/>
          <w:highlight w:val="none"/>
        </w:rPr>
        <w:t>机构投资者：指依法可以投资证券投资基金的、在中华人民共和国境内合法登记并存续或经有关政府部门批准设立并存续的企业法人、事业法人、社会团体或其他组织</w:t>
      </w:r>
    </w:p>
    <w:p w14:paraId="7256CE81">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21.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3F7EF1CF">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22</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投资人、投资者：指个人投资者、机构投资者、合格境外投资者以及法律法规或中国证监会允许购买证券投资基金的其他投资人的合称</w:t>
      </w:r>
    </w:p>
    <w:p w14:paraId="4E06CB51">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23</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基金份额持有人：指依基金合同和招募说明书合法取得基金份额的投资人</w:t>
      </w:r>
    </w:p>
    <w:p w14:paraId="4E37A065">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24</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基金销售业务：指基金管理人或</w:t>
      </w:r>
      <w:r>
        <w:rPr>
          <w:rFonts w:hint="eastAsia" w:cs="Arial" w:asciiTheme="minorEastAsia" w:hAnsiTheme="minorEastAsia" w:eastAsiaTheme="minorEastAsia"/>
          <w:szCs w:val="21"/>
          <w:highlight w:val="none"/>
        </w:rPr>
        <w:t>销售</w:t>
      </w:r>
      <w:r>
        <w:rPr>
          <w:rFonts w:hint="eastAsia" w:asciiTheme="minorEastAsia" w:hAnsiTheme="minorEastAsia" w:eastAsiaTheme="minorEastAsia"/>
          <w:highlight w:val="none"/>
        </w:rPr>
        <w:t>机构宣传推介基金，发售基金份额，办理基金份额的申购、赎回、转换、转托管及定期定额投资等业务</w:t>
      </w:r>
    </w:p>
    <w:p w14:paraId="72C773CC">
      <w:pPr>
        <w:adjustRightInd w:val="0"/>
        <w:snapToGrid w:val="0"/>
        <w:spacing w:line="360" w:lineRule="auto"/>
        <w:ind w:firstLine="420" w:firstLineChars="200"/>
        <w:rPr>
          <w:rFonts w:cs="Arial" w:asciiTheme="minorEastAsia" w:hAnsiTheme="minorEastAsia" w:eastAsiaTheme="minorEastAsia"/>
          <w:spacing w:val="8"/>
          <w:szCs w:val="21"/>
          <w:highlight w:val="none"/>
        </w:rPr>
      </w:pPr>
      <w:r>
        <w:rPr>
          <w:rFonts w:hint="eastAsia" w:cs="Arial" w:asciiTheme="minorEastAsia" w:hAnsiTheme="minorEastAsia" w:eastAsiaTheme="minorEastAsia"/>
          <w:szCs w:val="21"/>
          <w:highlight w:val="none"/>
        </w:rPr>
        <w:t>25</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销售机构：指</w:t>
      </w:r>
      <w:r>
        <w:rPr>
          <w:rFonts w:cs="Arial" w:asciiTheme="minorEastAsia" w:hAnsiTheme="minorEastAsia" w:eastAsiaTheme="minorEastAsia"/>
          <w:szCs w:val="21"/>
          <w:highlight w:val="none"/>
        </w:rPr>
        <w:t>直销机构和代销机构</w:t>
      </w:r>
    </w:p>
    <w:p w14:paraId="4C36F62D">
      <w:pPr>
        <w:adjustRightInd w:val="0"/>
        <w:snapToGrid w:val="0"/>
        <w:spacing w:line="360" w:lineRule="auto"/>
        <w:ind w:firstLine="420" w:firstLineChars="200"/>
        <w:rPr>
          <w:rFonts w:cs="Arial" w:asciiTheme="minorEastAsia" w:hAnsiTheme="minorEastAsia" w:eastAsiaTheme="minorEastAsia"/>
          <w:spacing w:val="8"/>
          <w:szCs w:val="21"/>
          <w:highlight w:val="none"/>
        </w:rPr>
      </w:pPr>
      <w:r>
        <w:rPr>
          <w:rFonts w:hint="eastAsia" w:cs="Arial" w:asciiTheme="minorEastAsia" w:hAnsiTheme="minorEastAsia" w:eastAsiaTheme="minorEastAsia"/>
          <w:szCs w:val="21"/>
          <w:highlight w:val="none"/>
        </w:rPr>
        <w:t>26.直销机构：</w:t>
      </w:r>
      <w:r>
        <w:rPr>
          <w:rFonts w:cs="Arial" w:asciiTheme="minorEastAsia" w:hAnsiTheme="minorEastAsia" w:eastAsiaTheme="minorEastAsia"/>
          <w:szCs w:val="21"/>
          <w:highlight w:val="none"/>
        </w:rPr>
        <w:t>指博时</w:t>
      </w:r>
      <w:r>
        <w:rPr>
          <w:rFonts w:hint="eastAsia" w:asciiTheme="minorEastAsia" w:hAnsiTheme="minorEastAsia" w:eastAsiaTheme="minorEastAsia"/>
          <w:highlight w:val="none"/>
        </w:rPr>
        <w:t>基金</w:t>
      </w:r>
      <w:r>
        <w:rPr>
          <w:rFonts w:cs="Arial" w:asciiTheme="minorEastAsia" w:hAnsiTheme="minorEastAsia" w:eastAsiaTheme="minorEastAsia"/>
          <w:szCs w:val="21"/>
          <w:highlight w:val="none"/>
        </w:rPr>
        <w:t>管理有限公司</w:t>
      </w:r>
    </w:p>
    <w:p w14:paraId="1F4D1B02">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27.代销机构：指</w:t>
      </w:r>
      <w:r>
        <w:rPr>
          <w:rFonts w:hint="eastAsia" w:asciiTheme="minorEastAsia" w:hAnsiTheme="minorEastAsia" w:eastAsiaTheme="minorEastAsia"/>
          <w:highlight w:val="none"/>
        </w:rPr>
        <w:t>符合《销售办法》和中国证监会规定的其他条件，取得基金</w:t>
      </w:r>
      <w:r>
        <w:rPr>
          <w:rFonts w:hint="eastAsia" w:cs="Arial" w:asciiTheme="minorEastAsia" w:hAnsiTheme="minorEastAsia" w:eastAsiaTheme="minorEastAsia"/>
          <w:szCs w:val="21"/>
          <w:highlight w:val="none"/>
        </w:rPr>
        <w:t>销售</w:t>
      </w:r>
      <w:r>
        <w:rPr>
          <w:rFonts w:hint="eastAsia" w:asciiTheme="minorEastAsia" w:hAnsiTheme="minorEastAsia" w:eastAsiaTheme="minorEastAsia"/>
          <w:highlight w:val="none"/>
        </w:rPr>
        <w:t>业务资格并与基金管理人签订了基金销售服务协议，办理基金销售业务的机构</w:t>
      </w:r>
    </w:p>
    <w:p w14:paraId="6EF78DDE">
      <w:pPr>
        <w:adjustRightInd w:val="0"/>
        <w:snapToGrid w:val="0"/>
        <w:spacing w:line="360" w:lineRule="auto"/>
        <w:ind w:firstLine="420" w:firstLineChars="200"/>
        <w:rPr>
          <w:rFonts w:cs="Arial" w:asciiTheme="minorEastAsia" w:hAnsiTheme="minorEastAsia" w:eastAsiaTheme="minorEastAsia"/>
          <w:spacing w:val="8"/>
          <w:szCs w:val="21"/>
          <w:highlight w:val="none"/>
        </w:rPr>
      </w:pPr>
      <w:r>
        <w:rPr>
          <w:rFonts w:hint="eastAsia" w:cs="Arial" w:asciiTheme="minorEastAsia" w:hAnsiTheme="minorEastAsia" w:eastAsiaTheme="minorEastAsia"/>
          <w:szCs w:val="21"/>
          <w:highlight w:val="none"/>
        </w:rPr>
        <w:t>28.基金销售网点：指直销机构的直销中心及代销机构的代销网点</w:t>
      </w:r>
    </w:p>
    <w:p w14:paraId="7F478222">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29</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041A5E4">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30</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登记机构：指办理登记业务的机构。基金的登记机构为</w:t>
      </w:r>
      <w:r>
        <w:rPr>
          <w:rFonts w:cs="Arial" w:asciiTheme="minorEastAsia" w:hAnsiTheme="minorEastAsia" w:eastAsiaTheme="minorEastAsia"/>
          <w:szCs w:val="21"/>
          <w:highlight w:val="none"/>
        </w:rPr>
        <w:t>博时基金管理有限公司</w:t>
      </w:r>
      <w:r>
        <w:rPr>
          <w:rFonts w:hint="eastAsia" w:cs="Arial" w:asciiTheme="minorEastAsia" w:hAnsiTheme="minorEastAsia" w:eastAsiaTheme="minorEastAsia"/>
          <w:szCs w:val="21"/>
          <w:highlight w:val="none"/>
        </w:rPr>
        <w:t>或接受</w:t>
      </w:r>
      <w:r>
        <w:rPr>
          <w:rFonts w:cs="Arial" w:asciiTheme="minorEastAsia" w:hAnsiTheme="minorEastAsia" w:eastAsiaTheme="minorEastAsia"/>
          <w:szCs w:val="21"/>
          <w:highlight w:val="none"/>
        </w:rPr>
        <w:t>博时基金管理有限公司委托代为办理登记业务的机构</w:t>
      </w:r>
    </w:p>
    <w:p w14:paraId="0AC91C4B">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31</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基金账户：指登记机构为投资人开立的、记录其持有的、基金管理人所管理的基金份额余额及其变动情况的账户</w:t>
      </w:r>
    </w:p>
    <w:p w14:paraId="70146072">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32</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基金交易账户：指销售机构为投资人开立的、记录投资人通过该销售机构办理认购、申购、赎回、转换、转托管及定期定额投资等业务而引起的基金份额变动及结余情况的账户</w:t>
      </w:r>
    </w:p>
    <w:p w14:paraId="531CD4F6">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33</w:t>
      </w:r>
      <w:r>
        <w:rPr>
          <w:rFonts w:cs="Arial" w:asciiTheme="minorEastAsia" w:hAnsiTheme="minorEastAsia" w:eastAsiaTheme="minorEastAsia"/>
          <w:szCs w:val="21"/>
          <w:highlight w:val="none"/>
        </w:rPr>
        <w:t>.</w:t>
      </w:r>
      <w:r>
        <w:rPr>
          <w:rFonts w:asciiTheme="minorEastAsia" w:hAnsiTheme="minorEastAsia" w:eastAsiaTheme="minorEastAsia"/>
          <w:highlight w:val="none"/>
        </w:rPr>
        <w:t>基金合同生效日：</w:t>
      </w:r>
      <w:r>
        <w:rPr>
          <w:rFonts w:hint="eastAsia" w:asciiTheme="minorEastAsia" w:hAnsiTheme="minorEastAsia" w:eastAsiaTheme="minorEastAsia"/>
          <w:highlight w:val="none"/>
        </w:rPr>
        <w:t>指基金募集达到法律法规规定及基金合同规定的条件，基金管理人向中国证监会办理基金备案手续完毕，并获得中国证监会书面确认的日期</w:t>
      </w:r>
    </w:p>
    <w:p w14:paraId="7BDE0CE2">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34</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基金合同终止日：指基金合同规定的基金合同终止事由出现后，基金财产清算完毕，清算结果报中国证监会备案并予以公告的日期</w:t>
      </w:r>
    </w:p>
    <w:p w14:paraId="4E06D322">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35</w:t>
      </w:r>
      <w:r>
        <w:rPr>
          <w:rFonts w:hint="eastAsia" w:asciiTheme="minorEastAsia" w:hAnsiTheme="minorEastAsia" w:eastAsiaTheme="minorEastAsia"/>
          <w:highlight w:val="none"/>
        </w:rPr>
        <w:t>.基金募集期：指自基金份额发售之日起至发售结束之日止的期间，最长不得超过</w:t>
      </w:r>
      <w:r>
        <w:rPr>
          <w:rFonts w:cs="Arial" w:asciiTheme="minorEastAsia" w:hAnsiTheme="minorEastAsia" w:eastAsiaTheme="minorEastAsia"/>
          <w:szCs w:val="21"/>
          <w:highlight w:val="none"/>
        </w:rPr>
        <w:t>3</w:t>
      </w:r>
      <w:r>
        <w:rPr>
          <w:rFonts w:hint="eastAsia" w:asciiTheme="minorEastAsia" w:hAnsiTheme="minorEastAsia" w:eastAsiaTheme="minorEastAsia"/>
          <w:highlight w:val="none"/>
        </w:rPr>
        <w:t>个月</w:t>
      </w:r>
    </w:p>
    <w:p w14:paraId="4A9EC6EE">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36</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存续期：指基金合同生效至终止之间的不定期期限</w:t>
      </w:r>
    </w:p>
    <w:p w14:paraId="6B7784FC">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37</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工作日：指上海证券交易所、深圳证券交易所及</w:t>
      </w:r>
      <w:r>
        <w:rPr>
          <w:rFonts w:asciiTheme="minorEastAsia" w:hAnsiTheme="minorEastAsia" w:eastAsiaTheme="minorEastAsia"/>
          <w:highlight w:val="none"/>
        </w:rPr>
        <w:t>相关期货交易所</w:t>
      </w:r>
      <w:r>
        <w:rPr>
          <w:rFonts w:hint="eastAsia" w:asciiTheme="minorEastAsia" w:hAnsiTheme="minorEastAsia" w:eastAsiaTheme="minorEastAsia"/>
          <w:highlight w:val="none"/>
        </w:rPr>
        <w:t>的正常交易日</w:t>
      </w:r>
    </w:p>
    <w:p w14:paraId="08B1170A">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38</w:t>
      </w:r>
      <w:r>
        <w:rPr>
          <w:rFonts w:cs="Arial" w:asciiTheme="minorEastAsia" w:hAnsiTheme="minorEastAsia" w:eastAsiaTheme="minorEastAsia"/>
          <w:szCs w:val="21"/>
          <w:highlight w:val="none"/>
        </w:rPr>
        <w:t>.</w:t>
      </w:r>
      <w:r>
        <w:rPr>
          <w:rFonts w:asciiTheme="minorEastAsia" w:hAnsiTheme="minorEastAsia" w:eastAsiaTheme="minorEastAsia"/>
          <w:highlight w:val="none"/>
        </w:rPr>
        <w:t>T</w:t>
      </w:r>
      <w:r>
        <w:rPr>
          <w:rFonts w:hint="eastAsia" w:asciiTheme="minorEastAsia" w:hAnsiTheme="minorEastAsia" w:eastAsiaTheme="minorEastAsia"/>
          <w:highlight w:val="none"/>
        </w:rPr>
        <w:t>日：指销售机构在规定时间受理投资人申购、赎回或其他业务申请的</w:t>
      </w:r>
      <w:r>
        <w:rPr>
          <w:rFonts w:hint="eastAsia" w:cs="Arial" w:asciiTheme="minorEastAsia" w:hAnsiTheme="minorEastAsia" w:eastAsiaTheme="minorEastAsia"/>
          <w:szCs w:val="21"/>
          <w:highlight w:val="none"/>
        </w:rPr>
        <w:t>开放日</w:t>
      </w:r>
    </w:p>
    <w:p w14:paraId="2F642A48">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39</w:t>
      </w:r>
      <w:r>
        <w:rPr>
          <w:rFonts w:cs="Arial" w:asciiTheme="minorEastAsia" w:hAnsiTheme="minorEastAsia" w:eastAsiaTheme="minorEastAsia"/>
          <w:szCs w:val="21"/>
          <w:highlight w:val="none"/>
        </w:rPr>
        <w:t>.</w:t>
      </w:r>
      <w:r>
        <w:rPr>
          <w:rFonts w:asciiTheme="minorEastAsia" w:hAnsiTheme="minorEastAsia" w:eastAsiaTheme="minorEastAsia"/>
          <w:highlight w:val="none"/>
        </w:rPr>
        <w:t>T+n</w:t>
      </w:r>
      <w:r>
        <w:rPr>
          <w:rFonts w:hint="eastAsia" w:asciiTheme="minorEastAsia" w:hAnsiTheme="minorEastAsia" w:eastAsiaTheme="minorEastAsia"/>
          <w:highlight w:val="none"/>
        </w:rPr>
        <w:t>日：指自</w:t>
      </w:r>
      <w:r>
        <w:rPr>
          <w:rFonts w:asciiTheme="minorEastAsia" w:hAnsiTheme="minorEastAsia" w:eastAsiaTheme="minorEastAsia"/>
          <w:highlight w:val="none"/>
        </w:rPr>
        <w:t>T</w:t>
      </w:r>
      <w:r>
        <w:rPr>
          <w:rFonts w:hint="eastAsia" w:asciiTheme="minorEastAsia" w:hAnsiTheme="minorEastAsia" w:eastAsiaTheme="minorEastAsia"/>
          <w:highlight w:val="none"/>
        </w:rPr>
        <w:t>日起第</w:t>
      </w:r>
      <w:r>
        <w:rPr>
          <w:rFonts w:asciiTheme="minorEastAsia" w:hAnsiTheme="minorEastAsia" w:eastAsiaTheme="minorEastAsia"/>
          <w:highlight w:val="none"/>
        </w:rPr>
        <w:t>n</w:t>
      </w:r>
      <w:r>
        <w:rPr>
          <w:rFonts w:hint="eastAsia" w:asciiTheme="minorEastAsia" w:hAnsiTheme="minorEastAsia" w:eastAsiaTheme="minorEastAsia"/>
          <w:highlight w:val="none"/>
        </w:rPr>
        <w:t>个工作日</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不包含</w:t>
      </w:r>
      <w:r>
        <w:rPr>
          <w:rFonts w:asciiTheme="minorEastAsia" w:hAnsiTheme="minorEastAsia" w:eastAsiaTheme="minorEastAsia"/>
          <w:highlight w:val="none"/>
        </w:rPr>
        <w:t>T</w:t>
      </w:r>
      <w:r>
        <w:rPr>
          <w:rFonts w:hint="eastAsia" w:asciiTheme="minorEastAsia" w:hAnsiTheme="minorEastAsia" w:eastAsiaTheme="minorEastAsia"/>
          <w:highlight w:val="none"/>
        </w:rPr>
        <w:t>日</w:t>
      </w:r>
      <w:r>
        <w:rPr>
          <w:rFonts w:hint="eastAsia" w:cs="Arial" w:asciiTheme="minorEastAsia" w:hAnsiTheme="minorEastAsia" w:eastAsiaTheme="minorEastAsia"/>
          <w:szCs w:val="21"/>
          <w:highlight w:val="none"/>
        </w:rPr>
        <w:t>）</w:t>
      </w:r>
    </w:p>
    <w:p w14:paraId="3E88F3C8">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40</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开放日：指为投资人办理基金份额申购、赎回或其他业务的工作日</w:t>
      </w:r>
    </w:p>
    <w:p w14:paraId="4778AB79">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41</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开放</w:t>
      </w:r>
      <w:r>
        <w:rPr>
          <w:rFonts w:asciiTheme="minorEastAsia" w:hAnsiTheme="minorEastAsia" w:eastAsiaTheme="minorEastAsia"/>
          <w:highlight w:val="none"/>
        </w:rPr>
        <w:t>时间</w:t>
      </w:r>
      <w:r>
        <w:rPr>
          <w:rFonts w:hint="eastAsia" w:asciiTheme="minorEastAsia" w:hAnsiTheme="minorEastAsia" w:eastAsiaTheme="minorEastAsia"/>
          <w:highlight w:val="none"/>
        </w:rPr>
        <w:t>：指开放日基金接受申购、赎回或其他交易的时间段</w:t>
      </w:r>
    </w:p>
    <w:p w14:paraId="00490D29">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cs="Arial" w:asciiTheme="minorEastAsia" w:hAnsiTheme="minorEastAsia" w:eastAsiaTheme="minorEastAsia"/>
          <w:szCs w:val="21"/>
          <w:highlight w:val="none"/>
        </w:rPr>
        <w:t>42</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《业务规则》：指</w:t>
      </w:r>
      <w:r>
        <w:rPr>
          <w:rFonts w:cs="Arial" w:asciiTheme="minorEastAsia" w:hAnsiTheme="minorEastAsia" w:eastAsiaTheme="minorEastAsia"/>
          <w:szCs w:val="21"/>
          <w:highlight w:val="none"/>
        </w:rPr>
        <w:t>《博时基金管理有限公司开放式基金业务规则》</w:t>
      </w:r>
      <w:r>
        <w:rPr>
          <w:rFonts w:hint="eastAsia" w:asciiTheme="minorEastAsia" w:hAnsiTheme="minorEastAsia" w:eastAsiaTheme="minorEastAsia"/>
          <w:highlight w:val="none"/>
        </w:rPr>
        <w:t>，是规范基金管理人所管理的开放式证券投资基金登记方面的业务规则，由基金管理人和投资人共同遵守</w:t>
      </w:r>
    </w:p>
    <w:p w14:paraId="430DCFE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43．认购：指在基金募集期内，投资人根据基金合同和招募说明书的规定申请购买基金份额的行为</w:t>
      </w:r>
    </w:p>
    <w:p w14:paraId="2652B579">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asciiTheme="minorEastAsia" w:hAnsiTheme="minorEastAsia" w:eastAsiaTheme="minorEastAsia"/>
          <w:highlight w:val="none"/>
        </w:rPr>
        <w:t>44</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申购：指基金合同生效后，投资人根据基金合同和招募说明书的规定申请购买基金份额的行为</w:t>
      </w:r>
    </w:p>
    <w:p w14:paraId="41A1CDD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45</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赎回：指基金合同生效后，基金份额持有人按基金合同</w:t>
      </w:r>
      <w:r>
        <w:rPr>
          <w:rFonts w:hint="eastAsia" w:cs="Arial" w:asciiTheme="minorEastAsia" w:hAnsiTheme="minorEastAsia" w:eastAsiaTheme="minorEastAsia"/>
          <w:szCs w:val="21"/>
          <w:highlight w:val="none"/>
        </w:rPr>
        <w:t>和招募说明书</w:t>
      </w:r>
      <w:r>
        <w:rPr>
          <w:rFonts w:hint="eastAsia" w:asciiTheme="minorEastAsia" w:hAnsiTheme="minorEastAsia" w:eastAsiaTheme="minorEastAsia"/>
          <w:highlight w:val="none"/>
        </w:rPr>
        <w:t>规定的条件要求将基金份额兑换为现金的行为</w:t>
      </w:r>
    </w:p>
    <w:p w14:paraId="306E6BBF">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asciiTheme="minorEastAsia" w:hAnsiTheme="minorEastAsia" w:eastAsiaTheme="minorEastAsia"/>
          <w:highlight w:val="none"/>
        </w:rPr>
        <w:t>46</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基金转换：指基金份额持有人按照本基金合同和基金管理人届时有效公告规定的条件，申请将其持有基金管理人管理的、某一基金的基金份额转换为基金管理人管理的其他基金基金份额的行为</w:t>
      </w:r>
    </w:p>
    <w:p w14:paraId="0B3C34A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47</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转托管：指基金份额持有人在本基金的不同销售机构之间实施的变更所持基金份额销售机构的操作</w:t>
      </w:r>
    </w:p>
    <w:p w14:paraId="1F0E448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48</w:t>
      </w:r>
      <w:r>
        <w:rPr>
          <w:rFonts w:cs="Arial" w:asciiTheme="minorEastAsia" w:hAnsiTheme="minorEastAsia" w:eastAsiaTheme="minorEastAsia"/>
          <w:szCs w:val="21"/>
          <w:highlight w:val="none"/>
        </w:rPr>
        <w:t>.</w:t>
      </w:r>
      <w:r>
        <w:rPr>
          <w:rFonts w:hint="eastAsia" w:asciiTheme="minorEastAsia" w:hAnsiTheme="minorEastAsia" w:eastAsiaTheme="minorEastAsia"/>
          <w:spacing w:val="8"/>
          <w:highlight w:val="none"/>
        </w:rPr>
        <w:t>定期定额投资计划：指投资人通过有关销售机构提出申请，约定每期</w:t>
      </w:r>
      <w:r>
        <w:rPr>
          <w:rFonts w:hint="eastAsia" w:cs="Arial" w:asciiTheme="minorEastAsia" w:hAnsiTheme="minorEastAsia" w:eastAsiaTheme="minorEastAsia"/>
          <w:spacing w:val="8"/>
          <w:szCs w:val="21"/>
          <w:highlight w:val="none"/>
        </w:rPr>
        <w:t>申购</w:t>
      </w:r>
      <w:r>
        <w:rPr>
          <w:rFonts w:hint="eastAsia" w:asciiTheme="minorEastAsia" w:hAnsiTheme="minorEastAsia" w:eastAsiaTheme="minorEastAsia"/>
          <w:spacing w:val="8"/>
          <w:highlight w:val="none"/>
        </w:rPr>
        <w:t>日、扣款金额及扣款方式，由销售机构于每期约定扣款日在投资人指定银行账户内自动完成扣款及受理基金申购申请的一种投资方式</w:t>
      </w:r>
    </w:p>
    <w:p w14:paraId="6AC342E7">
      <w:pPr>
        <w:adjustRightInd w:val="0"/>
        <w:snapToGrid w:val="0"/>
        <w:spacing w:line="360" w:lineRule="auto"/>
        <w:ind w:firstLine="452" w:firstLineChars="200"/>
        <w:rPr>
          <w:rFonts w:asciiTheme="minorEastAsia" w:hAnsiTheme="minorEastAsia" w:eastAsiaTheme="minorEastAsia"/>
          <w:spacing w:val="8"/>
          <w:highlight w:val="none"/>
        </w:rPr>
      </w:pPr>
      <w:r>
        <w:rPr>
          <w:rFonts w:hint="eastAsia" w:asciiTheme="minorEastAsia" w:hAnsiTheme="minorEastAsia" w:eastAsiaTheme="minorEastAsia"/>
          <w:spacing w:val="8"/>
          <w:highlight w:val="none"/>
        </w:rPr>
        <w:t>49</w:t>
      </w:r>
      <w:r>
        <w:rPr>
          <w:rFonts w:cs="Arial" w:asciiTheme="minorEastAsia" w:hAnsiTheme="minorEastAsia" w:eastAsiaTheme="minorEastAsia"/>
          <w:spacing w:val="8"/>
          <w:szCs w:val="21"/>
          <w:highlight w:val="none"/>
        </w:rPr>
        <w:t>.</w:t>
      </w:r>
      <w:r>
        <w:rPr>
          <w:rFonts w:hint="eastAsia" w:asciiTheme="minorEastAsia" w:hAnsiTheme="minorEastAsia" w:eastAsiaTheme="minorEastAsia"/>
          <w:spacing w:val="8"/>
          <w:highlight w:val="none"/>
        </w:rPr>
        <w:t>巨额赎回：指本基金单个开放日，基金净赎回申请</w:t>
      </w:r>
      <w:r>
        <w:rPr>
          <w:rFonts w:hint="eastAsia" w:cs="Arial" w:asciiTheme="minorEastAsia" w:hAnsiTheme="minorEastAsia" w:eastAsiaTheme="minorEastAsia"/>
          <w:spacing w:val="8"/>
          <w:szCs w:val="21"/>
          <w:highlight w:val="none"/>
        </w:rPr>
        <w:t>（</w:t>
      </w:r>
      <w:r>
        <w:rPr>
          <w:rFonts w:hint="eastAsia" w:asciiTheme="minorEastAsia" w:hAnsiTheme="minorEastAsia" w:eastAsiaTheme="minorEastAsia"/>
          <w:spacing w:val="8"/>
          <w:highlight w:val="none"/>
        </w:rPr>
        <w:t>赎回申请份额总数加上基金转换中转出申请份额总数后扣除申购申请份额总数及基金转换中转入申请份额总数后的余额</w:t>
      </w:r>
      <w:r>
        <w:rPr>
          <w:rFonts w:hint="eastAsia" w:cs="Arial" w:asciiTheme="minorEastAsia" w:hAnsiTheme="minorEastAsia" w:eastAsiaTheme="minorEastAsia"/>
          <w:spacing w:val="8"/>
          <w:szCs w:val="21"/>
          <w:highlight w:val="none"/>
        </w:rPr>
        <w:t>）</w:t>
      </w:r>
      <w:r>
        <w:rPr>
          <w:rFonts w:hint="eastAsia" w:asciiTheme="minorEastAsia" w:hAnsiTheme="minorEastAsia" w:eastAsiaTheme="minorEastAsia"/>
          <w:spacing w:val="8"/>
          <w:highlight w:val="none"/>
        </w:rPr>
        <w:t>超过上一开放日基金总份额的</w:t>
      </w:r>
      <w:r>
        <w:rPr>
          <w:rFonts w:cs="Arial" w:asciiTheme="minorEastAsia" w:hAnsiTheme="minorEastAsia" w:eastAsiaTheme="minorEastAsia"/>
          <w:spacing w:val="8"/>
          <w:szCs w:val="21"/>
          <w:highlight w:val="none"/>
        </w:rPr>
        <w:t>10%</w:t>
      </w:r>
    </w:p>
    <w:p w14:paraId="48A4D9F4">
      <w:pPr>
        <w:adjustRightInd w:val="0"/>
        <w:snapToGrid w:val="0"/>
        <w:spacing w:line="360" w:lineRule="auto"/>
        <w:ind w:firstLine="452" w:firstLineChars="200"/>
        <w:rPr>
          <w:rFonts w:asciiTheme="minorEastAsia" w:hAnsiTheme="minorEastAsia" w:eastAsiaTheme="minorEastAsia"/>
          <w:spacing w:val="8"/>
          <w:highlight w:val="none"/>
        </w:rPr>
      </w:pPr>
      <w:r>
        <w:rPr>
          <w:rFonts w:hint="eastAsia" w:asciiTheme="minorEastAsia" w:hAnsiTheme="minorEastAsia" w:eastAsiaTheme="minorEastAsia"/>
          <w:spacing w:val="8"/>
          <w:highlight w:val="none"/>
        </w:rPr>
        <w:t>50</w:t>
      </w:r>
      <w:r>
        <w:rPr>
          <w:rFonts w:asciiTheme="minorEastAsia" w:hAnsiTheme="minorEastAsia" w:eastAsiaTheme="minorEastAsia"/>
          <w:spacing w:val="8"/>
          <w:highlight w:val="none"/>
        </w:rPr>
        <w:t>.</w:t>
      </w:r>
      <w:r>
        <w:rPr>
          <w:rFonts w:hint="eastAsia" w:asciiTheme="minorEastAsia" w:hAnsiTheme="minorEastAsia" w:eastAsiaTheme="minorEastAsia"/>
          <w:spacing w:val="8"/>
          <w:highlight w:val="none"/>
        </w:rPr>
        <w:t>元：指人民币元</w:t>
      </w:r>
    </w:p>
    <w:p w14:paraId="3A707061">
      <w:pPr>
        <w:adjustRightInd w:val="0"/>
        <w:snapToGrid w:val="0"/>
        <w:spacing w:line="360" w:lineRule="auto"/>
        <w:ind w:firstLine="452" w:firstLineChars="200"/>
        <w:rPr>
          <w:rFonts w:asciiTheme="minorEastAsia" w:hAnsiTheme="minorEastAsia" w:eastAsiaTheme="minorEastAsia"/>
          <w:spacing w:val="8"/>
          <w:highlight w:val="none"/>
        </w:rPr>
      </w:pPr>
      <w:r>
        <w:rPr>
          <w:rFonts w:hint="eastAsia" w:asciiTheme="minorEastAsia" w:hAnsiTheme="minorEastAsia" w:eastAsiaTheme="minorEastAsia"/>
          <w:spacing w:val="8"/>
          <w:highlight w:val="none"/>
        </w:rPr>
        <w:t>51</w:t>
      </w:r>
      <w:r>
        <w:rPr>
          <w:rFonts w:asciiTheme="minorEastAsia" w:hAnsiTheme="minorEastAsia" w:eastAsiaTheme="minorEastAsia"/>
          <w:spacing w:val="8"/>
          <w:highlight w:val="none"/>
        </w:rPr>
        <w:t>.</w:t>
      </w:r>
      <w:r>
        <w:rPr>
          <w:rFonts w:hint="eastAsia" w:asciiTheme="minorEastAsia" w:hAnsiTheme="minorEastAsia" w:eastAsiaTheme="minorEastAsia"/>
          <w:spacing w:val="8"/>
          <w:highlight w:val="none"/>
        </w:rPr>
        <w:t>基金收益：指基金投资所得红利、股息、债券利息、买卖证券价差、投资目标ETF份额所得收益、银行存款利息、已实现的其他合法收入及因运用基金财产带来的成本和费用的节约</w:t>
      </w:r>
    </w:p>
    <w:p w14:paraId="26FC4C60">
      <w:pPr>
        <w:adjustRightInd w:val="0"/>
        <w:snapToGrid w:val="0"/>
        <w:spacing w:line="360" w:lineRule="auto"/>
        <w:ind w:firstLine="452" w:firstLineChars="200"/>
        <w:rPr>
          <w:rFonts w:asciiTheme="minorEastAsia" w:hAnsiTheme="minorEastAsia" w:eastAsiaTheme="minorEastAsia"/>
          <w:spacing w:val="8"/>
          <w:highlight w:val="none"/>
        </w:rPr>
      </w:pPr>
      <w:r>
        <w:rPr>
          <w:rFonts w:hint="eastAsia" w:asciiTheme="minorEastAsia" w:hAnsiTheme="minorEastAsia" w:eastAsiaTheme="minorEastAsia"/>
          <w:spacing w:val="8"/>
          <w:highlight w:val="none"/>
        </w:rPr>
        <w:t>52</w:t>
      </w:r>
      <w:r>
        <w:rPr>
          <w:rFonts w:asciiTheme="minorEastAsia" w:hAnsiTheme="minorEastAsia" w:eastAsiaTheme="minorEastAsia"/>
          <w:spacing w:val="8"/>
          <w:highlight w:val="none"/>
        </w:rPr>
        <w:t>.</w:t>
      </w:r>
      <w:r>
        <w:rPr>
          <w:rFonts w:hint="eastAsia" w:asciiTheme="minorEastAsia" w:hAnsiTheme="minorEastAsia" w:eastAsiaTheme="minorEastAsia"/>
          <w:spacing w:val="8"/>
          <w:highlight w:val="none"/>
        </w:rPr>
        <w:t>基金资产总值：指基金拥有的目标ETF基金份额、各类有价证券、银行存款本息、基金应收款项及其他资产的价值总和</w:t>
      </w:r>
    </w:p>
    <w:p w14:paraId="0F3507C6">
      <w:pPr>
        <w:adjustRightInd w:val="0"/>
        <w:snapToGrid w:val="0"/>
        <w:spacing w:line="360" w:lineRule="auto"/>
        <w:ind w:firstLine="452" w:firstLineChars="200"/>
        <w:rPr>
          <w:rFonts w:asciiTheme="minorEastAsia" w:hAnsiTheme="minorEastAsia" w:eastAsiaTheme="minorEastAsia"/>
          <w:spacing w:val="8"/>
          <w:highlight w:val="none"/>
        </w:rPr>
      </w:pPr>
      <w:r>
        <w:rPr>
          <w:rFonts w:hint="eastAsia" w:asciiTheme="minorEastAsia" w:hAnsiTheme="minorEastAsia" w:eastAsiaTheme="minorEastAsia"/>
          <w:spacing w:val="8"/>
          <w:highlight w:val="none"/>
        </w:rPr>
        <w:t>53</w:t>
      </w:r>
      <w:r>
        <w:rPr>
          <w:rFonts w:asciiTheme="minorEastAsia" w:hAnsiTheme="minorEastAsia" w:eastAsiaTheme="minorEastAsia"/>
          <w:spacing w:val="8"/>
          <w:highlight w:val="none"/>
        </w:rPr>
        <w:t>.</w:t>
      </w:r>
      <w:r>
        <w:rPr>
          <w:rFonts w:hint="eastAsia" w:asciiTheme="minorEastAsia" w:hAnsiTheme="minorEastAsia" w:eastAsiaTheme="minorEastAsia"/>
          <w:spacing w:val="8"/>
          <w:highlight w:val="none"/>
        </w:rPr>
        <w:t>基金资产净值：指基金资产总值减去基金负债后的价值</w:t>
      </w:r>
    </w:p>
    <w:p w14:paraId="572CF37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54</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基金份额净值：指计算日基金资产净值除以计算日基金份额总数</w:t>
      </w:r>
    </w:p>
    <w:p w14:paraId="17B17B9F">
      <w:pPr>
        <w:adjustRightInd w:val="0"/>
        <w:snapToGrid w:val="0"/>
        <w:spacing w:line="360" w:lineRule="auto"/>
        <w:ind w:firstLine="420" w:firstLineChars="200"/>
        <w:rPr>
          <w:rFonts w:asciiTheme="minorEastAsia" w:hAnsiTheme="minorEastAsia" w:eastAsiaTheme="minorEastAsia"/>
          <w:spacing w:val="8"/>
          <w:highlight w:val="none"/>
        </w:rPr>
      </w:pPr>
      <w:r>
        <w:rPr>
          <w:rFonts w:hint="eastAsia" w:asciiTheme="minorEastAsia" w:hAnsiTheme="minorEastAsia" w:eastAsiaTheme="minorEastAsia"/>
          <w:highlight w:val="none"/>
        </w:rPr>
        <w:t>55</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基金资产估值：指计算评估基金资产和负债的价值，以确定基金资产净值和基金份额净值的过程</w:t>
      </w:r>
    </w:p>
    <w:p w14:paraId="5EA667B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56</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规定媒介：指符合中国证监会规定条件的用以进行信息披露的</w:t>
      </w:r>
      <w:r>
        <w:rPr>
          <w:rFonts w:hint="eastAsia"/>
          <w:bCs/>
          <w:szCs w:val="21"/>
          <w:highlight w:val="none"/>
        </w:rPr>
        <w:t>全国性</w:t>
      </w:r>
      <w:r>
        <w:rPr>
          <w:bCs/>
          <w:szCs w:val="21"/>
          <w:highlight w:val="none"/>
        </w:rPr>
        <w:t>报刊</w:t>
      </w:r>
      <w:r>
        <w:rPr>
          <w:rFonts w:hint="eastAsia"/>
          <w:bCs/>
          <w:szCs w:val="21"/>
          <w:highlight w:val="none"/>
        </w:rPr>
        <w:t>及《信息披露办法》规定的</w:t>
      </w:r>
      <w:r>
        <w:rPr>
          <w:bCs/>
          <w:szCs w:val="21"/>
          <w:highlight w:val="none"/>
        </w:rPr>
        <w:t>互联网网站</w:t>
      </w:r>
      <w:r>
        <w:rPr>
          <w:rFonts w:hint="eastAsia"/>
          <w:bCs/>
          <w:szCs w:val="21"/>
          <w:highlight w:val="none"/>
        </w:rPr>
        <w:t>（包括</w:t>
      </w:r>
      <w:r>
        <w:rPr>
          <w:bCs/>
          <w:szCs w:val="21"/>
          <w:highlight w:val="none"/>
        </w:rPr>
        <w:t>基金管理人网站、基金托管人网站、中国证监会基金电子披露网站</w:t>
      </w:r>
      <w:r>
        <w:rPr>
          <w:rFonts w:hint="eastAsia"/>
          <w:bCs/>
          <w:szCs w:val="21"/>
          <w:highlight w:val="none"/>
        </w:rPr>
        <w:t>）等媒介</w:t>
      </w:r>
    </w:p>
    <w:p w14:paraId="0A58762C">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asciiTheme="minorEastAsia" w:hAnsiTheme="minorEastAsia" w:eastAsiaTheme="minorEastAsia"/>
          <w:highlight w:val="none"/>
        </w:rPr>
        <w:t>57</w:t>
      </w:r>
      <w:r>
        <w:rPr>
          <w:rFonts w:hint="eastAsia" w:cs="Arial" w:asciiTheme="minorEastAsia" w:hAnsiTheme="minorEastAsia" w:eastAsiaTheme="minorEastAsia"/>
          <w:szCs w:val="21"/>
          <w:highlight w:val="none"/>
        </w:rPr>
        <w:t>.标的指数：指中证指数有限公司编制并发布的中证金融科技主题指数</w:t>
      </w:r>
    </w:p>
    <w:p w14:paraId="3A1346C2">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58.联接基金：指本基金，即将绝大部分基金财产投资于博时中证金融科技主题交易型开放式指数证券投资基金（目标</w:t>
      </w:r>
      <w:r>
        <w:rPr>
          <w:rFonts w:cs="Arial" w:asciiTheme="minorEastAsia" w:hAnsiTheme="minorEastAsia" w:eastAsiaTheme="minorEastAsia"/>
          <w:szCs w:val="21"/>
          <w:highlight w:val="none"/>
        </w:rPr>
        <w:t>ETF），紧密跟踪标的指数表现，追求跟踪偏离度和跟踪误差最</w:t>
      </w:r>
      <w:r>
        <w:rPr>
          <w:rFonts w:hint="eastAsia" w:cs="Arial" w:asciiTheme="minorEastAsia" w:hAnsiTheme="minorEastAsia" w:eastAsiaTheme="minorEastAsia"/>
          <w:szCs w:val="21"/>
          <w:highlight w:val="none"/>
        </w:rPr>
        <w:t>小化</w:t>
      </w:r>
      <w:r>
        <w:rPr>
          <w:rFonts w:cs="Arial" w:asciiTheme="minorEastAsia" w:hAnsiTheme="minorEastAsia" w:eastAsiaTheme="minorEastAsia"/>
          <w:szCs w:val="21"/>
          <w:highlight w:val="none"/>
        </w:rPr>
        <w:t>，采用开放式运作方式的基金</w:t>
      </w:r>
    </w:p>
    <w:p w14:paraId="2CD3E6C5">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59.目标ETF：博时中证金融科技主题交易型开放式指数证券投资基金</w:t>
      </w:r>
    </w:p>
    <w:p w14:paraId="7BA84181">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60.</w:t>
      </w:r>
      <w:r>
        <w:rPr>
          <w:rFonts w:cs="Arial" w:asciiTheme="minorEastAsia" w:hAnsiTheme="minorEastAsia" w:eastAsiaTheme="minorEastAsia"/>
          <w:szCs w:val="21"/>
          <w:highlight w:val="none"/>
        </w:rPr>
        <w:t>A类基金份额：</w:t>
      </w:r>
      <w:r>
        <w:rPr>
          <w:rFonts w:hint="eastAsia" w:cs="Arial" w:asciiTheme="minorEastAsia" w:hAnsiTheme="minorEastAsia" w:eastAsiaTheme="minorEastAsia"/>
          <w:szCs w:val="21"/>
          <w:highlight w:val="none"/>
        </w:rPr>
        <w:t>指在投资者认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申购时收取认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申购费用，不从本类别基金资产中计提销售服务费的基金份额类别</w:t>
      </w:r>
    </w:p>
    <w:p w14:paraId="5D8C9132">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61</w:t>
      </w:r>
      <w:r>
        <w:rPr>
          <w:rFonts w:cs="Arial" w:asciiTheme="minorEastAsia" w:hAnsiTheme="minorEastAsia" w:eastAsiaTheme="minorEastAsia"/>
          <w:szCs w:val="21"/>
          <w:highlight w:val="none"/>
        </w:rPr>
        <w:t>.C类基金份额：</w:t>
      </w:r>
      <w:r>
        <w:rPr>
          <w:rFonts w:hint="eastAsia" w:cs="Arial" w:asciiTheme="minorEastAsia" w:hAnsiTheme="minorEastAsia" w:eastAsiaTheme="minorEastAsia"/>
          <w:szCs w:val="21"/>
          <w:highlight w:val="none"/>
        </w:rPr>
        <w:t>指在投资者认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申购时不收取认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申购费用，但</w:t>
      </w:r>
      <w:r>
        <w:rPr>
          <w:rFonts w:cs="Arial" w:asciiTheme="minorEastAsia" w:hAnsiTheme="minorEastAsia" w:eastAsiaTheme="minorEastAsia"/>
          <w:szCs w:val="21"/>
          <w:highlight w:val="none"/>
        </w:rPr>
        <w:t>从本类别基金资产中计提销售服务费的</w:t>
      </w:r>
      <w:r>
        <w:rPr>
          <w:rFonts w:hint="eastAsia" w:cs="Arial" w:asciiTheme="minorEastAsia" w:hAnsiTheme="minorEastAsia" w:eastAsiaTheme="minorEastAsia"/>
          <w:szCs w:val="21"/>
          <w:highlight w:val="none"/>
        </w:rPr>
        <w:t>基金份额类别</w:t>
      </w:r>
    </w:p>
    <w:p w14:paraId="450DAAE1">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62</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销售服务费：指从基金资产中计提的，用于本基金市场推广、销售以及基金份额持有人服务的费用</w:t>
      </w:r>
    </w:p>
    <w:p w14:paraId="41EA60BF">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63</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流动性受限资产：指由于法律法规、监管、合同或操作障碍等原因无法以合理价格予以变现的资产，包括但不限于到期日在</w:t>
      </w:r>
      <w:r>
        <w:rPr>
          <w:rFonts w:cs="Arial" w:asciiTheme="minorEastAsia" w:hAnsiTheme="minorEastAsia" w:eastAsiaTheme="minorEastAsia"/>
          <w:szCs w:val="21"/>
          <w:highlight w:val="none"/>
        </w:rPr>
        <w:t>10</w:t>
      </w:r>
      <w:r>
        <w:rPr>
          <w:rFonts w:hint="eastAsia" w:cs="Arial" w:asciiTheme="minorEastAsia" w:hAnsiTheme="minorEastAsia" w:eastAsiaTheme="minorEastAsia"/>
          <w:szCs w:val="21"/>
          <w:highlight w:val="none"/>
        </w:rPr>
        <w:t>个交易日以上的逆回购与银行定期存款（含协议约定有条件提前支取的银行存款）、停牌股票、流通受限的新股及非公开发行股票、资产支持证券、因发行人债务违约无法进行转让或交易的债券等</w:t>
      </w:r>
    </w:p>
    <w:p w14:paraId="1B097D04">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64</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E44984">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65</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转融通证券出借业务：指本基金以一定费率通过证券交易所综合业务平台向中国证券金融股份有限公司出借证券，中国证券金融股份有限公司到期归还所借证券及相应权益补偿并支付费用的业务</w:t>
      </w:r>
    </w:p>
    <w:p w14:paraId="481378F5">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66</w:t>
      </w:r>
      <w:r>
        <w:rPr>
          <w:rFonts w:cs="Arial" w:asciiTheme="minorEastAsia" w:hAnsiTheme="minorEastAsia" w:eastAsiaTheme="minorEastAsia"/>
          <w:szCs w:val="21"/>
          <w:highlight w:val="none"/>
        </w:rPr>
        <w:t>.</w:t>
      </w:r>
      <w:r>
        <w:rPr>
          <w:rFonts w:hint="eastAsia" w:asciiTheme="minorEastAsia" w:hAnsiTheme="minorEastAsia" w:eastAsiaTheme="minorEastAsia"/>
          <w:highlight w:val="none"/>
        </w:rPr>
        <w:t>不可抗力：指本基金合同当事人不能预见、不能避免且不能克服的客观事件</w:t>
      </w:r>
    </w:p>
    <w:p w14:paraId="7B3B3FFA">
      <w:pPr>
        <w:adjustRightInd w:val="0"/>
        <w:snapToGrid w:val="0"/>
        <w:spacing w:line="360" w:lineRule="auto"/>
        <w:ind w:firstLine="420" w:firstLineChars="200"/>
        <w:rPr>
          <w:rFonts w:cs="Arial" w:asciiTheme="minorEastAsia" w:hAnsiTheme="minorEastAsia" w:eastAsiaTheme="minorEastAsia"/>
          <w:szCs w:val="21"/>
          <w:highlight w:val="none"/>
        </w:rPr>
      </w:pPr>
      <w:bookmarkStart w:id="59" w:name="_Toc90742320"/>
      <w:bookmarkStart w:id="60" w:name="_Toc18631"/>
      <w:bookmarkStart w:id="61" w:name="_Toc6683"/>
      <w:bookmarkStart w:id="62" w:name="_Toc22708"/>
      <w:bookmarkStart w:id="63" w:name="_Toc5246"/>
      <w:bookmarkStart w:id="64" w:name="_Toc13288"/>
      <w:bookmarkStart w:id="65" w:name="_Toc545"/>
      <w:bookmarkStart w:id="66" w:name="_Toc20318"/>
      <w:bookmarkStart w:id="67" w:name="_Toc733"/>
      <w:bookmarkStart w:id="68" w:name="_Toc6149"/>
      <w:bookmarkStart w:id="69" w:name="_Toc20627"/>
      <w:bookmarkStart w:id="70" w:name="_Toc24571"/>
      <w:bookmarkStart w:id="71" w:name="_Toc90742389"/>
      <w:bookmarkStart w:id="72" w:name="_Toc233456272"/>
      <w:bookmarkStart w:id="73" w:name="_Toc258829400"/>
      <w:r>
        <w:rPr>
          <w:rFonts w:hint="eastAsia" w:cs="Arial" w:asciiTheme="minorEastAsia" w:hAnsiTheme="minorEastAsia" w:eastAsiaTheme="minorEastAsia"/>
          <w:szCs w:val="21"/>
          <w:highlight w:val="none"/>
        </w:rPr>
        <w:t>67.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7AB8C507">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68.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53E93A8C">
      <w:pPr>
        <w:adjustRightInd w:val="0"/>
        <w:snapToGrid w:val="0"/>
        <w:spacing w:line="360" w:lineRule="auto"/>
        <w:ind w:firstLine="420" w:firstLineChars="200"/>
        <w:rPr>
          <w:rFonts w:cs="Arial" w:asciiTheme="minorEastAsia" w:hAnsiTheme="minorEastAsia" w:eastAsiaTheme="minorEastAsia"/>
          <w:szCs w:val="21"/>
          <w:highlight w:val="none"/>
        </w:rPr>
      </w:pPr>
    </w:p>
    <w:p w14:paraId="50B1580F">
      <w:pPr>
        <w:adjustRightInd w:val="0"/>
        <w:snapToGrid w:val="0"/>
        <w:spacing w:line="360" w:lineRule="auto"/>
        <w:ind w:firstLine="420" w:firstLineChars="200"/>
        <w:rPr>
          <w:rFonts w:cs="Arial" w:asciiTheme="minorEastAsia" w:hAnsiTheme="minorEastAsia" w:eastAsiaTheme="minorEastAsia"/>
          <w:szCs w:val="21"/>
          <w:highlight w:val="none"/>
        </w:rPr>
      </w:pPr>
    </w:p>
    <w:p w14:paraId="4731C042">
      <w:pPr>
        <w:pStyle w:val="3"/>
        <w:adjustRightInd w:val="0"/>
        <w:snapToGrid w:val="0"/>
        <w:spacing w:before="0" w:after="0" w:line="360" w:lineRule="auto"/>
        <w:jc w:val="both"/>
        <w:rPr>
          <w:rFonts w:cs="Arial" w:asciiTheme="minorEastAsia" w:hAnsiTheme="minorEastAsia" w:eastAsiaTheme="minorEastAsia"/>
          <w:sz w:val="21"/>
          <w:szCs w:val="21"/>
          <w:highlight w:val="none"/>
        </w:rPr>
        <w:sectPr>
          <w:footerReference r:id="rId7" w:type="default"/>
          <w:pgSz w:w="11906" w:h="16838"/>
          <w:pgMar w:top="1418" w:right="1701" w:bottom="1418" w:left="1701" w:header="851" w:footer="992" w:gutter="0"/>
          <w:pgNumType w:start="1"/>
          <w:cols w:space="425" w:num="1"/>
          <w:formProt w:val="0"/>
          <w:docGrid w:type="lines" w:linePitch="312" w:charSpace="0"/>
        </w:sectPr>
      </w:pPr>
    </w:p>
    <w:bookmarkEnd w:id="56"/>
    <w:p w14:paraId="5598332D">
      <w:pPr>
        <w:pStyle w:val="3"/>
        <w:adjustRightInd w:val="0"/>
        <w:snapToGrid w:val="0"/>
        <w:spacing w:before="312" w:beforeLines="100" w:after="0" w:line="360" w:lineRule="auto"/>
        <w:rPr>
          <w:rFonts w:asciiTheme="minorEastAsia" w:hAnsiTheme="minorEastAsia" w:eastAsiaTheme="minorEastAsia"/>
          <w:sz w:val="21"/>
          <w:highlight w:val="none"/>
        </w:rPr>
      </w:pPr>
      <w:bookmarkStart w:id="74" w:name="CLAUSE_8caa660f0b7743c396a52dfb1d7c7b58"/>
      <w:r>
        <w:rPr>
          <w:rFonts w:asciiTheme="minorEastAsia" w:hAnsiTheme="minorEastAsia" w:eastAsiaTheme="minorEastAsia"/>
          <w:highlight w:val="none"/>
        </w:rPr>
        <w:t xml:space="preserve"> </w:t>
      </w:r>
      <w:bookmarkStart w:id="75" w:name="CTS_8caa660f0b7743c396a52dfb1d7c7b58"/>
      <w:bookmarkEnd w:id="75"/>
      <w:bookmarkStart w:id="76" w:name="_Toc16237228"/>
      <w:r>
        <w:rPr>
          <w:rFonts w:hint="eastAsia" w:cs="Arial" w:asciiTheme="minorEastAsia" w:hAnsiTheme="minorEastAsia" w:eastAsiaTheme="minorEastAsia"/>
          <w:sz w:val="21"/>
          <w:szCs w:val="21"/>
          <w:highlight w:val="none"/>
        </w:rPr>
        <w:t>第三部分 基金的基本情况</w:t>
      </w:r>
      <w:bookmarkEnd w:id="59"/>
      <w:bookmarkEnd w:id="60"/>
      <w:bookmarkEnd w:id="61"/>
      <w:bookmarkEnd w:id="62"/>
      <w:bookmarkEnd w:id="63"/>
      <w:bookmarkEnd w:id="64"/>
      <w:bookmarkEnd w:id="65"/>
      <w:bookmarkEnd w:id="66"/>
      <w:bookmarkEnd w:id="67"/>
      <w:bookmarkEnd w:id="68"/>
      <w:bookmarkEnd w:id="69"/>
      <w:bookmarkEnd w:id="70"/>
      <w:bookmarkEnd w:id="71"/>
      <w:bookmarkEnd w:id="76"/>
      <w:bookmarkStart w:id="77" w:name="_Toc79392573"/>
    </w:p>
    <w:p w14:paraId="1FF790C1">
      <w:pPr>
        <w:spacing w:line="360" w:lineRule="auto"/>
        <w:ind w:firstLine="540"/>
        <w:rPr>
          <w:rFonts w:asciiTheme="minorEastAsia" w:hAnsiTheme="minorEastAsia" w:eastAsiaTheme="minorEastAsia"/>
          <w:bCs/>
          <w:sz w:val="24"/>
          <w:highlight w:val="none"/>
        </w:rPr>
      </w:pPr>
      <w:bookmarkStart w:id="78" w:name="_Hlt88031774"/>
      <w:bookmarkEnd w:id="78"/>
      <w:bookmarkStart w:id="79" w:name="_Hlt88031741"/>
    </w:p>
    <w:bookmarkEnd w:id="79"/>
    <w:p w14:paraId="393063C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w:t>
      </w:r>
      <w:r>
        <w:rPr>
          <w:rFonts w:cs="Arial" w:asciiTheme="minorEastAsia" w:hAnsiTheme="minorEastAsia" w:eastAsiaTheme="minorEastAsia"/>
          <w:szCs w:val="21"/>
          <w:highlight w:val="none"/>
        </w:rPr>
        <w:t>的</w:t>
      </w:r>
      <w:r>
        <w:rPr>
          <w:rFonts w:hint="eastAsia" w:asciiTheme="minorEastAsia" w:hAnsiTheme="minorEastAsia" w:eastAsiaTheme="minorEastAsia"/>
          <w:highlight w:val="none"/>
        </w:rPr>
        <w:t>名称</w:t>
      </w:r>
      <w:bookmarkEnd w:id="77"/>
    </w:p>
    <w:p w14:paraId="06661D21">
      <w:pPr>
        <w:adjustRightInd w:val="0"/>
        <w:snapToGrid w:val="0"/>
        <w:spacing w:line="360" w:lineRule="auto"/>
        <w:ind w:firstLine="420" w:firstLineChars="200"/>
        <w:rPr>
          <w:rFonts w:asciiTheme="minorEastAsia" w:hAnsiTheme="minorEastAsia" w:eastAsiaTheme="minorEastAsia"/>
          <w:highlight w:val="none"/>
        </w:rPr>
      </w:pPr>
      <w:r>
        <w:rPr>
          <w:rFonts w:hint="eastAsia" w:cs="Arial" w:asciiTheme="minorEastAsia" w:hAnsiTheme="minorEastAsia" w:eastAsiaTheme="minorEastAsia"/>
          <w:szCs w:val="21"/>
          <w:highlight w:val="none"/>
        </w:rPr>
        <w:t>博时中证金融科技主题交易型开放式指数证券投资基金联接基金</w:t>
      </w:r>
    </w:p>
    <w:p w14:paraId="1042C3B6">
      <w:pPr>
        <w:spacing w:line="360" w:lineRule="auto"/>
        <w:ind w:firstLine="480" w:firstLineChars="200"/>
        <w:rPr>
          <w:rFonts w:asciiTheme="minorEastAsia" w:hAnsiTheme="minorEastAsia" w:eastAsiaTheme="minorEastAsia"/>
          <w:bCs/>
          <w:sz w:val="24"/>
          <w:highlight w:val="none"/>
        </w:rPr>
      </w:pPr>
      <w:bookmarkStart w:id="80" w:name="_Toc79392574"/>
    </w:p>
    <w:p w14:paraId="0F7F7AF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二、基金的类别</w:t>
      </w:r>
      <w:bookmarkEnd w:id="80"/>
    </w:p>
    <w:p w14:paraId="196C1E72">
      <w:pPr>
        <w:adjustRightInd w:val="0"/>
        <w:snapToGrid w:val="0"/>
        <w:spacing w:line="360" w:lineRule="auto"/>
        <w:ind w:firstLine="420" w:firstLineChars="200"/>
        <w:rPr>
          <w:rFonts w:asciiTheme="minorEastAsia" w:hAnsiTheme="minorEastAsia" w:eastAsiaTheme="minorEastAsia"/>
          <w:highlight w:val="none"/>
        </w:rPr>
      </w:pPr>
      <w:r>
        <w:rPr>
          <w:rFonts w:cs="Arial" w:asciiTheme="minorEastAsia" w:hAnsiTheme="minorEastAsia" w:eastAsiaTheme="minorEastAsia"/>
          <w:szCs w:val="21"/>
          <w:highlight w:val="none"/>
        </w:rPr>
        <w:t>ETF联接</w:t>
      </w:r>
      <w:r>
        <w:rPr>
          <w:rFonts w:hint="eastAsia" w:asciiTheme="minorEastAsia" w:hAnsiTheme="minorEastAsia" w:eastAsiaTheme="minorEastAsia"/>
          <w:highlight w:val="none"/>
        </w:rPr>
        <w:t>基金</w:t>
      </w:r>
    </w:p>
    <w:p w14:paraId="2DE69E5F">
      <w:pPr>
        <w:spacing w:line="360" w:lineRule="auto"/>
        <w:ind w:left="796" w:leftChars="257" w:hanging="256"/>
        <w:rPr>
          <w:rFonts w:asciiTheme="minorEastAsia" w:hAnsiTheme="minorEastAsia" w:eastAsiaTheme="minorEastAsia"/>
          <w:bCs/>
          <w:sz w:val="24"/>
          <w:highlight w:val="none"/>
        </w:rPr>
      </w:pPr>
      <w:bookmarkStart w:id="81" w:name="_Toc79392575"/>
    </w:p>
    <w:p w14:paraId="600A3A8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三、基金的运作方式</w:t>
      </w:r>
    </w:p>
    <w:p w14:paraId="7D0106A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契约型开放式</w:t>
      </w:r>
    </w:p>
    <w:p w14:paraId="0AFA75D7">
      <w:pPr>
        <w:spacing w:line="360" w:lineRule="auto"/>
        <w:ind w:left="796" w:leftChars="257" w:hanging="256"/>
        <w:rPr>
          <w:rFonts w:asciiTheme="minorEastAsia" w:hAnsiTheme="minorEastAsia" w:eastAsiaTheme="minorEastAsia"/>
          <w:bCs/>
          <w:sz w:val="24"/>
          <w:highlight w:val="none"/>
        </w:rPr>
      </w:pPr>
    </w:p>
    <w:p w14:paraId="2C1E160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w:t>
      </w:r>
      <w:r>
        <w:rPr>
          <w:rFonts w:asciiTheme="minorEastAsia" w:hAnsiTheme="minorEastAsia" w:eastAsiaTheme="minorEastAsia"/>
          <w:highlight w:val="none"/>
        </w:rPr>
        <w:t>、基金的投资目标</w:t>
      </w:r>
    </w:p>
    <w:p w14:paraId="030A1DE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通过主要投资于目标ETF，紧密跟踪标的指数即中证金融科技主题指数的表现，追求跟踪偏离度和跟踪误差的最小化。</w:t>
      </w:r>
    </w:p>
    <w:p w14:paraId="1739A5C9">
      <w:pPr>
        <w:adjustRightInd w:val="0"/>
        <w:snapToGrid w:val="0"/>
        <w:spacing w:line="360" w:lineRule="auto"/>
        <w:ind w:firstLine="420" w:firstLineChars="200"/>
        <w:rPr>
          <w:rFonts w:asciiTheme="minorEastAsia" w:hAnsiTheme="minorEastAsia" w:eastAsiaTheme="minorEastAsia"/>
          <w:highlight w:val="none"/>
        </w:rPr>
      </w:pPr>
    </w:p>
    <w:p w14:paraId="50B0EC5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五、基金份额发售面值和认购费用</w:t>
      </w:r>
    </w:p>
    <w:p w14:paraId="2F297D6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本基金基金份额发售面值为人民币1.00元。</w:t>
      </w:r>
    </w:p>
    <w:p w14:paraId="4331FC5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本基金A类基金份额的具体认购费率按招募说明书及基金产品资料概要的规定执行。C类基金份额不收取认购费。</w:t>
      </w:r>
    </w:p>
    <w:p w14:paraId="4CA6842B">
      <w:pPr>
        <w:adjustRightInd w:val="0"/>
        <w:snapToGrid w:val="0"/>
        <w:spacing w:line="360" w:lineRule="auto"/>
        <w:ind w:firstLine="420" w:firstLineChars="200"/>
        <w:rPr>
          <w:rFonts w:asciiTheme="minorEastAsia" w:hAnsiTheme="minorEastAsia" w:eastAsiaTheme="minorEastAsia"/>
          <w:highlight w:val="none"/>
        </w:rPr>
      </w:pPr>
    </w:p>
    <w:p w14:paraId="3D88D18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六、基金存续期限</w:t>
      </w:r>
    </w:p>
    <w:p w14:paraId="30C6635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不定期。</w:t>
      </w:r>
    </w:p>
    <w:p w14:paraId="6D3207E7">
      <w:pPr>
        <w:adjustRightInd w:val="0"/>
        <w:snapToGrid w:val="0"/>
        <w:spacing w:line="360" w:lineRule="auto"/>
        <w:ind w:firstLine="420" w:firstLineChars="200"/>
        <w:rPr>
          <w:rFonts w:asciiTheme="minorEastAsia" w:hAnsiTheme="minorEastAsia" w:eastAsiaTheme="minorEastAsia"/>
          <w:highlight w:val="none"/>
        </w:rPr>
      </w:pPr>
    </w:p>
    <w:p w14:paraId="36F1321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七、基金的</w:t>
      </w:r>
      <w:bookmarkEnd w:id="81"/>
      <w:r>
        <w:rPr>
          <w:rFonts w:cs="Arial" w:asciiTheme="minorEastAsia" w:hAnsiTheme="minorEastAsia" w:eastAsiaTheme="minorEastAsia"/>
          <w:szCs w:val="21"/>
          <w:highlight w:val="none"/>
        </w:rPr>
        <w:t>标的指数</w:t>
      </w:r>
    </w:p>
    <w:p w14:paraId="0FB77869">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中证金融科技主题指数</w:t>
      </w:r>
    </w:p>
    <w:p w14:paraId="77F6D56A">
      <w:pPr>
        <w:adjustRightInd w:val="0"/>
        <w:snapToGrid w:val="0"/>
        <w:spacing w:line="360" w:lineRule="auto"/>
        <w:ind w:firstLine="420" w:firstLineChars="200"/>
        <w:rPr>
          <w:rFonts w:cs="Arial" w:asciiTheme="minorEastAsia" w:hAnsiTheme="minorEastAsia" w:eastAsiaTheme="minorEastAsia"/>
          <w:szCs w:val="21"/>
          <w:highlight w:val="none"/>
        </w:rPr>
      </w:pPr>
    </w:p>
    <w:p w14:paraId="4FF3C50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八、基金的最低募集份额总额</w:t>
      </w:r>
    </w:p>
    <w:p w14:paraId="133AA3D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本基金的最低募集份额总额为2亿份。</w:t>
      </w:r>
    </w:p>
    <w:p w14:paraId="1F857555">
      <w:pPr>
        <w:adjustRightInd w:val="0"/>
        <w:snapToGrid w:val="0"/>
        <w:spacing w:line="360" w:lineRule="auto"/>
        <w:ind w:firstLine="420" w:firstLineChars="200"/>
        <w:rPr>
          <w:rFonts w:asciiTheme="minorEastAsia" w:hAnsiTheme="minorEastAsia" w:eastAsiaTheme="minorEastAsia"/>
          <w:highlight w:val="none"/>
        </w:rPr>
      </w:pPr>
    </w:p>
    <w:p w14:paraId="2713E89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九</w:t>
      </w:r>
      <w:r>
        <w:rPr>
          <w:rFonts w:hint="eastAsia" w:cs="Arial" w:asciiTheme="minorEastAsia" w:hAnsiTheme="minorEastAsia" w:eastAsiaTheme="minorEastAsia"/>
          <w:szCs w:val="21"/>
          <w:highlight w:val="none"/>
        </w:rPr>
        <w:t>、</w:t>
      </w:r>
      <w:r>
        <w:rPr>
          <w:rFonts w:hint="eastAsia" w:asciiTheme="minorEastAsia" w:hAnsiTheme="minorEastAsia" w:eastAsiaTheme="minorEastAsia"/>
          <w:highlight w:val="none"/>
        </w:rPr>
        <w:t>基金份额</w:t>
      </w:r>
      <w:r>
        <w:rPr>
          <w:rFonts w:hint="eastAsia" w:cs="Arial" w:asciiTheme="minorEastAsia" w:hAnsiTheme="minorEastAsia" w:eastAsiaTheme="minorEastAsia"/>
          <w:szCs w:val="21"/>
          <w:highlight w:val="none"/>
        </w:rPr>
        <w:t>类别设置</w:t>
      </w:r>
    </w:p>
    <w:p w14:paraId="5B5ACD7C">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本基金根据认购/申购费用、销售服务费收取方式的不同，将基金份额分为不同的类别。</w:t>
      </w:r>
    </w:p>
    <w:p w14:paraId="5AD379CF">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在投资者认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申购时收取认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申购费用，不</w:t>
      </w:r>
      <w:r>
        <w:rPr>
          <w:rFonts w:cs="Arial" w:asciiTheme="minorEastAsia" w:hAnsiTheme="minorEastAsia" w:eastAsiaTheme="minorEastAsia"/>
          <w:szCs w:val="21"/>
          <w:highlight w:val="none"/>
        </w:rPr>
        <w:t>从本类别基金资产中计提销售服务费的</w:t>
      </w:r>
      <w:r>
        <w:rPr>
          <w:rFonts w:hint="eastAsia" w:cs="Arial" w:asciiTheme="minorEastAsia" w:hAnsiTheme="minorEastAsia" w:eastAsiaTheme="minorEastAsia"/>
          <w:szCs w:val="21"/>
          <w:highlight w:val="none"/>
        </w:rPr>
        <w:t>基金份额，</w:t>
      </w:r>
      <w:r>
        <w:rPr>
          <w:rFonts w:cs="Arial" w:asciiTheme="minorEastAsia" w:hAnsiTheme="minorEastAsia" w:eastAsiaTheme="minorEastAsia"/>
          <w:szCs w:val="21"/>
          <w:highlight w:val="none"/>
        </w:rPr>
        <w:t>称为A类基金份额</w:t>
      </w:r>
      <w:r>
        <w:rPr>
          <w:rFonts w:hint="eastAsia" w:cs="Arial" w:asciiTheme="minorEastAsia" w:hAnsiTheme="minorEastAsia" w:eastAsiaTheme="minorEastAsia"/>
          <w:szCs w:val="21"/>
          <w:highlight w:val="none"/>
        </w:rPr>
        <w:t>；在投资者认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申购时不收取认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申购费用，但</w:t>
      </w:r>
      <w:r>
        <w:rPr>
          <w:rFonts w:cs="Arial" w:asciiTheme="minorEastAsia" w:hAnsiTheme="minorEastAsia" w:eastAsiaTheme="minorEastAsia"/>
          <w:szCs w:val="21"/>
          <w:highlight w:val="none"/>
        </w:rPr>
        <w:t>从本类别基金资产中计提销售服务费的</w:t>
      </w:r>
      <w:r>
        <w:rPr>
          <w:rFonts w:hint="eastAsia" w:cs="Arial" w:asciiTheme="minorEastAsia" w:hAnsiTheme="minorEastAsia" w:eastAsiaTheme="minorEastAsia"/>
          <w:szCs w:val="21"/>
          <w:highlight w:val="none"/>
        </w:rPr>
        <w:t>基金份额</w:t>
      </w:r>
      <w:r>
        <w:rPr>
          <w:rFonts w:cs="Arial" w:asciiTheme="minorEastAsia" w:hAnsiTheme="minorEastAsia" w:eastAsiaTheme="minorEastAsia"/>
          <w:szCs w:val="21"/>
          <w:highlight w:val="none"/>
        </w:rPr>
        <w:t>，称为C类基金份额</w:t>
      </w:r>
      <w:r>
        <w:rPr>
          <w:rFonts w:hint="eastAsia" w:cs="Arial" w:asciiTheme="minorEastAsia" w:hAnsiTheme="minorEastAsia" w:eastAsiaTheme="minorEastAsia"/>
          <w:szCs w:val="21"/>
          <w:highlight w:val="none"/>
        </w:rPr>
        <w:t>。</w:t>
      </w:r>
    </w:p>
    <w:p w14:paraId="6852A47F">
      <w:pPr>
        <w:adjustRightInd w:val="0"/>
        <w:snapToGrid w:val="0"/>
        <w:spacing w:line="360" w:lineRule="auto"/>
        <w:ind w:firstLine="420" w:firstLineChars="200"/>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A类基金份额、C类基金份额分别设置代码，分别计算和公告</w:t>
      </w:r>
      <w:r>
        <w:rPr>
          <w:rFonts w:hint="eastAsia" w:cs="Arial" w:asciiTheme="minorEastAsia" w:hAnsiTheme="minorEastAsia" w:eastAsiaTheme="minorEastAsia"/>
          <w:szCs w:val="21"/>
          <w:highlight w:val="none"/>
        </w:rPr>
        <w:t>各</w:t>
      </w:r>
      <w:r>
        <w:rPr>
          <w:rFonts w:cs="Arial" w:asciiTheme="minorEastAsia" w:hAnsiTheme="minorEastAsia" w:eastAsiaTheme="minorEastAsia"/>
          <w:szCs w:val="21"/>
          <w:highlight w:val="none"/>
        </w:rPr>
        <w:t>类基金份额净值和</w:t>
      </w:r>
      <w:r>
        <w:rPr>
          <w:rFonts w:hint="eastAsia" w:cs="Arial" w:asciiTheme="minorEastAsia" w:hAnsiTheme="minorEastAsia" w:eastAsiaTheme="minorEastAsia"/>
          <w:szCs w:val="21"/>
          <w:highlight w:val="none"/>
        </w:rPr>
        <w:t>各</w:t>
      </w:r>
      <w:r>
        <w:rPr>
          <w:rFonts w:cs="Arial" w:asciiTheme="minorEastAsia" w:hAnsiTheme="minorEastAsia" w:eastAsiaTheme="minorEastAsia"/>
          <w:szCs w:val="21"/>
          <w:highlight w:val="none"/>
        </w:rPr>
        <w:t>类基金份额累计净值。</w:t>
      </w:r>
    </w:p>
    <w:p w14:paraId="3B99812D">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投资者可自行选择认</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申购的基金份额类别。</w:t>
      </w:r>
    </w:p>
    <w:p w14:paraId="1E76C1DA">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有关基金份额类别的具体设置等由基金管理人确定，并在招募说明书中公告。在不违反法律法规、基金合同的约定以及对基金份额持有人利益无实质性不利影响的情况下，经与基金托管人协商一致</w:t>
      </w:r>
      <w:r>
        <w:rPr>
          <w:rFonts w:hint="eastAsia" w:cs="Arial" w:asciiTheme="minorEastAsia" w:hAnsiTheme="minorEastAsia" w:eastAsiaTheme="minorEastAsia"/>
          <w:color w:val="0D0D0D" w:themeColor="text1" w:themeTint="F2"/>
          <w:szCs w:val="21"/>
          <w:highlight w:val="none"/>
          <w14:textFill>
            <w14:solidFill>
              <w14:schemeClr w14:val="tx1">
                <w14:lumMod w14:val="95000"/>
                <w14:lumOff w14:val="5000"/>
              </w14:schemeClr>
            </w14:solidFill>
          </w14:textFill>
        </w:rPr>
        <w:t>并履行相关程序后</w:t>
      </w:r>
      <w:r>
        <w:rPr>
          <w:rFonts w:hint="eastAsia" w:cs="Arial" w:asciiTheme="minorEastAsia" w:hAnsiTheme="minorEastAsia" w:eastAsiaTheme="minorEastAsia"/>
          <w:szCs w:val="21"/>
          <w:highlight w:val="none"/>
        </w:rPr>
        <w:t>，基金管理人可增加、减少或调整基金份额类别设置或者停止现有基金份额的销售、对基金份额分类办法及规则进行调整等</w:t>
      </w:r>
      <w:r>
        <w:rPr>
          <w:rFonts w:cs="Arial" w:asciiTheme="minorEastAsia" w:hAnsiTheme="minorEastAsia" w:eastAsiaTheme="minorEastAsia"/>
          <w:szCs w:val="21"/>
          <w:highlight w:val="none"/>
        </w:rPr>
        <w:t>，</w:t>
      </w:r>
      <w:r>
        <w:rPr>
          <w:rFonts w:hint="eastAsia" w:cs="Arial" w:asciiTheme="minorEastAsia" w:hAnsiTheme="minorEastAsia" w:eastAsiaTheme="minorEastAsia"/>
          <w:szCs w:val="21"/>
          <w:highlight w:val="none"/>
        </w:rPr>
        <w:t>并在调整实施之日前</w:t>
      </w:r>
      <w:r>
        <w:rPr>
          <w:rFonts w:cs="Arial" w:asciiTheme="minorEastAsia" w:hAnsiTheme="minorEastAsia" w:eastAsiaTheme="minorEastAsia"/>
          <w:szCs w:val="21"/>
          <w:highlight w:val="none"/>
        </w:rPr>
        <w:t>依照《信息披露办法》的有关规定在规定媒介上公告</w:t>
      </w:r>
      <w:r>
        <w:rPr>
          <w:rFonts w:hint="eastAsia" w:cs="Arial" w:asciiTheme="minorEastAsia" w:hAnsiTheme="minorEastAsia" w:eastAsiaTheme="minorEastAsia"/>
          <w:szCs w:val="21"/>
          <w:highlight w:val="none"/>
        </w:rPr>
        <w:t>，不需要召开基金份额持有人大会。</w:t>
      </w:r>
      <w:bookmarkStart w:id="82" w:name="_Toc79392577"/>
    </w:p>
    <w:bookmarkEnd w:id="82"/>
    <w:p w14:paraId="524B222A">
      <w:pPr>
        <w:spacing w:line="360" w:lineRule="auto"/>
        <w:rPr>
          <w:rFonts w:asciiTheme="minorEastAsia" w:hAnsiTheme="minorEastAsia" w:eastAsiaTheme="minorEastAsia"/>
          <w:bCs/>
          <w:sz w:val="24"/>
          <w:highlight w:val="none"/>
        </w:rPr>
      </w:pPr>
    </w:p>
    <w:p w14:paraId="5C3C4F81">
      <w:pPr>
        <w:adjustRightInd w:val="0"/>
        <w:snapToGrid w:val="0"/>
        <w:spacing w:line="360" w:lineRule="auto"/>
        <w:ind w:firstLine="42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十、</w:t>
      </w:r>
      <w:r>
        <w:rPr>
          <w:rFonts w:cs="Arial" w:asciiTheme="minorEastAsia" w:hAnsiTheme="minorEastAsia" w:eastAsiaTheme="minorEastAsia"/>
          <w:szCs w:val="21"/>
          <w:highlight w:val="none"/>
        </w:rPr>
        <w:t>本基金与</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的联系与区别</w:t>
      </w:r>
    </w:p>
    <w:p w14:paraId="36857FA8">
      <w:pPr>
        <w:adjustRightInd w:val="0"/>
        <w:snapToGrid w:val="0"/>
        <w:spacing w:line="360" w:lineRule="auto"/>
        <w:ind w:firstLine="420" w:firstLineChars="200"/>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在投资方法和交易方式等方面，本基金与</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的联系与区别主要体现在以下几个方面：</w:t>
      </w:r>
    </w:p>
    <w:p w14:paraId="46F9DAAD">
      <w:pPr>
        <w:adjustRightInd w:val="0"/>
        <w:snapToGrid w:val="0"/>
        <w:spacing w:line="360" w:lineRule="auto"/>
        <w:ind w:firstLine="420"/>
        <w:rPr>
          <w:rFonts w:cs="Arial" w:asciiTheme="minorEastAsia" w:hAnsiTheme="minorEastAsia" w:eastAsiaTheme="minorEastAsia"/>
          <w:b/>
          <w:szCs w:val="21"/>
          <w:highlight w:val="none"/>
        </w:rPr>
      </w:pPr>
      <w:r>
        <w:rPr>
          <w:rFonts w:cs="Arial" w:asciiTheme="minorEastAsia" w:hAnsiTheme="minorEastAsia" w:eastAsiaTheme="minorEastAsia"/>
          <w:b/>
          <w:szCs w:val="21"/>
          <w:highlight w:val="none"/>
        </w:rPr>
        <w:t>联系：</w:t>
      </w:r>
    </w:p>
    <w:p w14:paraId="65029657">
      <w:pPr>
        <w:numPr>
          <w:ilvl w:val="0"/>
          <w:numId w:val="3"/>
        </w:numPr>
        <w:adjustRightInd w:val="0"/>
        <w:snapToGrid w:val="0"/>
        <w:spacing w:line="360" w:lineRule="auto"/>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两只基金跟踪同一个标的指数即</w:t>
      </w:r>
      <w:r>
        <w:rPr>
          <w:rFonts w:hint="eastAsia" w:cs="Arial" w:asciiTheme="minorEastAsia" w:hAnsiTheme="minorEastAsia" w:eastAsiaTheme="minorEastAsia"/>
          <w:szCs w:val="21"/>
          <w:highlight w:val="none"/>
        </w:rPr>
        <w:t>中证金融科技主题指数</w:t>
      </w:r>
      <w:r>
        <w:rPr>
          <w:rFonts w:cs="Arial" w:asciiTheme="minorEastAsia" w:hAnsiTheme="minorEastAsia" w:eastAsiaTheme="minorEastAsia"/>
          <w:szCs w:val="21"/>
          <w:highlight w:val="none"/>
        </w:rPr>
        <w:t>。</w:t>
      </w:r>
    </w:p>
    <w:p w14:paraId="6C87DAFE">
      <w:pPr>
        <w:numPr>
          <w:ilvl w:val="0"/>
          <w:numId w:val="3"/>
        </w:numPr>
        <w:adjustRightInd w:val="0"/>
        <w:snapToGrid w:val="0"/>
        <w:spacing w:line="360" w:lineRule="auto"/>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两只基金的投资目标均为紧密跟踪标的指数即</w:t>
      </w:r>
      <w:r>
        <w:rPr>
          <w:rFonts w:hint="eastAsia" w:cs="Arial" w:asciiTheme="minorEastAsia" w:hAnsiTheme="minorEastAsia" w:eastAsiaTheme="minorEastAsia"/>
          <w:szCs w:val="21"/>
          <w:highlight w:val="none"/>
        </w:rPr>
        <w:t>中证金融科技主题指数</w:t>
      </w:r>
      <w:r>
        <w:rPr>
          <w:rFonts w:cs="Arial" w:asciiTheme="minorEastAsia" w:hAnsiTheme="minorEastAsia" w:eastAsiaTheme="minorEastAsia"/>
          <w:szCs w:val="21"/>
          <w:highlight w:val="none"/>
        </w:rPr>
        <w:t>的表现，追求跟踪偏离度和跟踪误差的最小化。</w:t>
      </w:r>
    </w:p>
    <w:p w14:paraId="32B42E56">
      <w:pPr>
        <w:numPr>
          <w:ilvl w:val="0"/>
          <w:numId w:val="3"/>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两只基金具有相似的风险收益特征。</w:t>
      </w:r>
    </w:p>
    <w:p w14:paraId="790960E6">
      <w:pPr>
        <w:numPr>
          <w:ilvl w:val="0"/>
          <w:numId w:val="3"/>
        </w:numPr>
        <w:adjustRightInd w:val="0"/>
        <w:snapToGrid w:val="0"/>
        <w:spacing w:line="360" w:lineRule="auto"/>
        <w:ind w:left="0" w:firstLine="426"/>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是本基金的主要投资对象。</w:t>
      </w:r>
    </w:p>
    <w:p w14:paraId="5AB785C6">
      <w:pPr>
        <w:adjustRightInd w:val="0"/>
        <w:snapToGrid w:val="0"/>
        <w:spacing w:line="360" w:lineRule="auto"/>
        <w:ind w:firstLine="420"/>
        <w:rPr>
          <w:rFonts w:cs="Arial" w:asciiTheme="minorEastAsia" w:hAnsiTheme="minorEastAsia" w:eastAsiaTheme="minorEastAsia"/>
          <w:b/>
          <w:szCs w:val="21"/>
          <w:highlight w:val="none"/>
        </w:rPr>
      </w:pPr>
      <w:r>
        <w:rPr>
          <w:rFonts w:cs="Arial" w:asciiTheme="minorEastAsia" w:hAnsiTheme="minorEastAsia" w:eastAsiaTheme="minorEastAsia"/>
          <w:b/>
          <w:szCs w:val="21"/>
          <w:highlight w:val="none"/>
        </w:rPr>
        <w:t>区别：</w:t>
      </w:r>
    </w:p>
    <w:p w14:paraId="59A53221">
      <w:pPr>
        <w:numPr>
          <w:ilvl w:val="0"/>
          <w:numId w:val="4"/>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基金的投资管理方式不同：</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通过直接买卖标的指数成份股和备选成份股等，直接跟踪复制标的指数的表现；而本基金则是通过买卖</w:t>
      </w:r>
      <w:r>
        <w:rPr>
          <w:rFonts w:hint="eastAsia" w:cs="Arial" w:asciiTheme="minorEastAsia" w:hAnsiTheme="minorEastAsia" w:eastAsiaTheme="minorEastAsia"/>
          <w:szCs w:val="21"/>
          <w:highlight w:val="none"/>
        </w:rPr>
        <w:t>目标</w:t>
      </w:r>
      <w:r>
        <w:rPr>
          <w:rFonts w:cs="Arial" w:asciiTheme="minorEastAsia" w:hAnsiTheme="minorEastAsia" w:eastAsiaTheme="minorEastAsia"/>
          <w:szCs w:val="21"/>
          <w:highlight w:val="none"/>
        </w:rPr>
        <w:t>ETF基金（包括在</w:t>
      </w:r>
      <w:r>
        <w:rPr>
          <w:rFonts w:hint="eastAsia" w:cs="Arial" w:asciiTheme="minorEastAsia" w:hAnsiTheme="minorEastAsia" w:eastAsiaTheme="minorEastAsia"/>
          <w:szCs w:val="21"/>
          <w:highlight w:val="none"/>
        </w:rPr>
        <w:t>目标</w:t>
      </w:r>
      <w:r>
        <w:rPr>
          <w:rFonts w:cs="Arial" w:asciiTheme="minorEastAsia" w:hAnsiTheme="minorEastAsia" w:eastAsiaTheme="minorEastAsia"/>
          <w:szCs w:val="21"/>
          <w:highlight w:val="none"/>
        </w:rPr>
        <w:t>ETF的一级市场进行股票篮子组合的申购与赎回，也包括在</w:t>
      </w:r>
      <w:r>
        <w:rPr>
          <w:rFonts w:hint="eastAsia" w:cs="Arial" w:asciiTheme="minorEastAsia" w:hAnsiTheme="minorEastAsia" w:eastAsiaTheme="minorEastAsia"/>
          <w:szCs w:val="21"/>
          <w:highlight w:val="none"/>
        </w:rPr>
        <w:t>目标</w:t>
      </w:r>
      <w:r>
        <w:rPr>
          <w:rFonts w:cs="Arial" w:asciiTheme="minorEastAsia" w:hAnsiTheme="minorEastAsia" w:eastAsiaTheme="minorEastAsia"/>
          <w:szCs w:val="21"/>
          <w:highlight w:val="none"/>
        </w:rPr>
        <w:t>ETF的二级市场以现金直接买卖ETF份额），间接跟踪标的指数的表现。</w:t>
      </w:r>
    </w:p>
    <w:p w14:paraId="1F958D11">
      <w:pPr>
        <w:numPr>
          <w:ilvl w:val="0"/>
          <w:numId w:val="4"/>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基金的申购赎回不同：</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采用股票篮子组合的方式进行基金份额的申购与赎回，而本基金的申购和赎回均采用现金方式。</w:t>
      </w:r>
    </w:p>
    <w:p w14:paraId="2FF0BAA7">
      <w:pPr>
        <w:numPr>
          <w:ilvl w:val="0"/>
          <w:numId w:val="4"/>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基金是否挂牌交易不同：</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在</w:t>
      </w:r>
      <w:r>
        <w:rPr>
          <w:rFonts w:hint="eastAsia" w:cs="Arial" w:asciiTheme="minorEastAsia" w:hAnsiTheme="minorEastAsia" w:eastAsiaTheme="minorEastAsia"/>
          <w:szCs w:val="21"/>
          <w:highlight w:val="none"/>
        </w:rPr>
        <w:t>上海证券交易所</w:t>
      </w:r>
      <w:r>
        <w:rPr>
          <w:rFonts w:cs="Arial" w:asciiTheme="minorEastAsia" w:hAnsiTheme="minorEastAsia" w:eastAsiaTheme="minorEastAsia"/>
          <w:szCs w:val="21"/>
          <w:highlight w:val="none"/>
        </w:rPr>
        <w:t>挂牌交易；而本基金则不上市交易。</w:t>
      </w:r>
    </w:p>
    <w:p w14:paraId="4F0729E4">
      <w:pPr>
        <w:numPr>
          <w:ilvl w:val="0"/>
          <w:numId w:val="4"/>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价格揭示机制不同：</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有实时市场交易价格和每日</w:t>
      </w:r>
      <w:r>
        <w:rPr>
          <w:rFonts w:hint="eastAsia" w:cs="Arial" w:asciiTheme="minorEastAsia" w:hAnsiTheme="minorEastAsia" w:eastAsiaTheme="minorEastAsia"/>
          <w:szCs w:val="21"/>
          <w:highlight w:val="none"/>
        </w:rPr>
        <w:t>基金</w:t>
      </w:r>
      <w:r>
        <w:rPr>
          <w:rFonts w:cs="Arial" w:asciiTheme="minorEastAsia" w:hAnsiTheme="minorEastAsia" w:eastAsiaTheme="minorEastAsia"/>
          <w:szCs w:val="21"/>
          <w:highlight w:val="none"/>
        </w:rPr>
        <w:t>份额净值；而本基金只揭示每日基金</w:t>
      </w:r>
      <w:r>
        <w:rPr>
          <w:rFonts w:hint="eastAsia" w:cs="Arial" w:asciiTheme="minorEastAsia" w:hAnsiTheme="minorEastAsia" w:eastAsiaTheme="minorEastAsia"/>
          <w:szCs w:val="21"/>
          <w:highlight w:val="none"/>
        </w:rPr>
        <w:t>份额</w:t>
      </w:r>
      <w:r>
        <w:rPr>
          <w:rFonts w:cs="Arial" w:asciiTheme="minorEastAsia" w:hAnsiTheme="minorEastAsia" w:eastAsiaTheme="minorEastAsia"/>
          <w:szCs w:val="21"/>
          <w:highlight w:val="none"/>
        </w:rPr>
        <w:t>净值。</w:t>
      </w:r>
    </w:p>
    <w:p w14:paraId="6DED38FF">
      <w:pPr>
        <w:numPr>
          <w:ilvl w:val="0"/>
          <w:numId w:val="4"/>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投资人申购赎回基金的程序不同：</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通过指定场内</w:t>
      </w:r>
      <w:r>
        <w:rPr>
          <w:rFonts w:hint="eastAsia" w:cs="Arial" w:asciiTheme="minorEastAsia" w:hAnsiTheme="minorEastAsia" w:eastAsiaTheme="minorEastAsia"/>
          <w:szCs w:val="21"/>
          <w:highlight w:val="none"/>
        </w:rPr>
        <w:t>申购赎回代理</w:t>
      </w:r>
      <w:r>
        <w:rPr>
          <w:rFonts w:cs="Arial" w:asciiTheme="minorEastAsia" w:hAnsiTheme="minorEastAsia" w:eastAsiaTheme="minorEastAsia"/>
          <w:szCs w:val="21"/>
          <w:highlight w:val="none"/>
        </w:rPr>
        <w:t>券商</w:t>
      </w:r>
      <w:r>
        <w:rPr>
          <w:rFonts w:hint="eastAsia" w:cs="Arial" w:asciiTheme="minorEastAsia" w:hAnsiTheme="minorEastAsia" w:eastAsiaTheme="minorEastAsia"/>
          <w:szCs w:val="21"/>
          <w:highlight w:val="none"/>
        </w:rPr>
        <w:t>或场外销售机构</w:t>
      </w:r>
      <w:r>
        <w:rPr>
          <w:rFonts w:cs="Arial" w:asciiTheme="minorEastAsia" w:hAnsiTheme="minorEastAsia" w:eastAsiaTheme="minorEastAsia"/>
          <w:szCs w:val="21"/>
          <w:highlight w:val="none"/>
        </w:rPr>
        <w:t>办理基金的申购与赎回；而本基金则通过场外销售机构办理基金的申购与赎回。</w:t>
      </w:r>
    </w:p>
    <w:p w14:paraId="324C6973">
      <w:pPr>
        <w:adjustRightInd w:val="0"/>
        <w:snapToGrid w:val="0"/>
        <w:spacing w:line="360" w:lineRule="auto"/>
        <w:ind w:left="426"/>
        <w:rPr>
          <w:rFonts w:cs="Arial" w:asciiTheme="minorEastAsia" w:hAnsiTheme="minorEastAsia" w:eastAsiaTheme="minorEastAsia"/>
          <w:szCs w:val="21"/>
          <w:highlight w:val="none"/>
        </w:rPr>
      </w:pPr>
    </w:p>
    <w:p w14:paraId="5ECFF5D7">
      <w:pPr>
        <w:adjustRightInd w:val="0"/>
        <w:snapToGrid w:val="0"/>
        <w:spacing w:line="360" w:lineRule="auto"/>
        <w:ind w:firstLine="420"/>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十一、</w:t>
      </w:r>
      <w:r>
        <w:rPr>
          <w:rFonts w:cs="Arial" w:asciiTheme="minorEastAsia" w:hAnsiTheme="minorEastAsia" w:eastAsiaTheme="minorEastAsia"/>
          <w:szCs w:val="21"/>
          <w:highlight w:val="none"/>
        </w:rPr>
        <w:t>本基金与</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业绩表现的差异</w:t>
      </w:r>
    </w:p>
    <w:p w14:paraId="17B6E5E2">
      <w:pPr>
        <w:adjustRightInd w:val="0"/>
        <w:snapToGrid w:val="0"/>
        <w:spacing w:line="360" w:lineRule="auto"/>
        <w:ind w:firstLine="420" w:firstLineChars="200"/>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本基金的业绩表现与</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的业绩表现可能会出现差异，差异产生的主要原因有以下几个方面：</w:t>
      </w:r>
    </w:p>
    <w:p w14:paraId="5A5A1FE9">
      <w:pPr>
        <w:numPr>
          <w:ilvl w:val="0"/>
          <w:numId w:val="5"/>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投资对象和投资范围的不同，会导致两只基金的业绩有差异。</w:t>
      </w:r>
    </w:p>
    <w:p w14:paraId="733F7A0C">
      <w:pPr>
        <w:numPr>
          <w:ilvl w:val="0"/>
          <w:numId w:val="5"/>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投资管理方式的不同，如在指数化投资过程中，不同的管理方式会导致跟踪指数的水平、技术手段、买入卖出的时机选择等的不同，会导致两只基金的业绩有差异。</w:t>
      </w:r>
    </w:p>
    <w:p w14:paraId="260491E0">
      <w:pPr>
        <w:numPr>
          <w:ilvl w:val="0"/>
          <w:numId w:val="5"/>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基金规模、</w:t>
      </w:r>
      <w:r>
        <w:rPr>
          <w:rFonts w:cs="Arial" w:asciiTheme="minorEastAsia" w:hAnsiTheme="minorEastAsia" w:eastAsiaTheme="minorEastAsia"/>
          <w:kern w:val="0"/>
          <w:szCs w:val="21"/>
          <w:highlight w:val="none"/>
        </w:rPr>
        <w:t>投资成本、各种费用与税收</w:t>
      </w:r>
      <w:r>
        <w:rPr>
          <w:rFonts w:cs="Arial" w:asciiTheme="minorEastAsia" w:hAnsiTheme="minorEastAsia" w:eastAsiaTheme="minorEastAsia"/>
          <w:szCs w:val="21"/>
          <w:highlight w:val="none"/>
        </w:rPr>
        <w:t>的不同，会导致两只基金的业绩有差异。由于两只基金的投资对象和投资范围不同，投资管理方式不同，基金规模也可能不同，所以，本基金的</w:t>
      </w:r>
      <w:r>
        <w:rPr>
          <w:rFonts w:cs="Arial" w:asciiTheme="minorEastAsia" w:hAnsiTheme="minorEastAsia" w:eastAsiaTheme="minorEastAsia"/>
          <w:kern w:val="0"/>
          <w:szCs w:val="21"/>
          <w:highlight w:val="none"/>
        </w:rPr>
        <w:t>投资成本、各种费用及税收</w:t>
      </w:r>
      <w:r>
        <w:rPr>
          <w:rFonts w:cs="Arial" w:asciiTheme="minorEastAsia" w:hAnsiTheme="minorEastAsia" w:eastAsiaTheme="minorEastAsia"/>
          <w:szCs w:val="21"/>
          <w:highlight w:val="none"/>
        </w:rPr>
        <w:t>可能不同于</w:t>
      </w:r>
      <w:r>
        <w:rPr>
          <w:rFonts w:hint="eastAsia" w:cs="Arial" w:asciiTheme="minorEastAsia" w:hAnsiTheme="minorEastAsia" w:eastAsiaTheme="minorEastAsia"/>
          <w:szCs w:val="21"/>
          <w:highlight w:val="none"/>
        </w:rPr>
        <w:t>博时中证金融科技主题交易型开放式指数证券投资基金</w:t>
      </w:r>
      <w:r>
        <w:rPr>
          <w:rFonts w:cs="Arial" w:asciiTheme="minorEastAsia" w:hAnsiTheme="minorEastAsia" w:eastAsiaTheme="minorEastAsia"/>
          <w:szCs w:val="21"/>
          <w:highlight w:val="none"/>
        </w:rPr>
        <w:t>。</w:t>
      </w:r>
    </w:p>
    <w:p w14:paraId="6E287427">
      <w:pPr>
        <w:numPr>
          <w:ilvl w:val="0"/>
          <w:numId w:val="5"/>
        </w:numPr>
        <w:adjustRightInd w:val="0"/>
        <w:snapToGrid w:val="0"/>
        <w:spacing w:line="360" w:lineRule="auto"/>
        <w:ind w:left="0" w:firstLine="426"/>
        <w:rPr>
          <w:rFonts w:cs="Arial" w:asciiTheme="minorEastAsia" w:hAnsiTheme="minorEastAsia" w:eastAsiaTheme="minorEastAsia"/>
          <w:szCs w:val="21"/>
          <w:highlight w:val="none"/>
        </w:rPr>
      </w:pPr>
      <w:r>
        <w:rPr>
          <w:rFonts w:cs="Arial" w:asciiTheme="minorEastAsia" w:hAnsiTheme="minorEastAsia" w:eastAsiaTheme="minorEastAsia"/>
          <w:szCs w:val="21"/>
          <w:highlight w:val="none"/>
        </w:rPr>
        <w:t>现金比例及现金管理方式的不同，会导致两只基金的业绩有差异。本基金须</w:t>
      </w:r>
      <w:r>
        <w:rPr>
          <w:rFonts w:hint="eastAsia" w:cs="Arial" w:asciiTheme="minorEastAsia" w:hAnsiTheme="minorEastAsia" w:eastAsiaTheme="minorEastAsia"/>
          <w:szCs w:val="21"/>
          <w:highlight w:val="none"/>
        </w:rPr>
        <w:t>每个交易日日终在扣除国债期货、股指期货和股票期权合约需缴纳的交易保证金后，</w:t>
      </w:r>
      <w:r>
        <w:rPr>
          <w:rFonts w:cs="Arial" w:asciiTheme="minorEastAsia" w:hAnsiTheme="minorEastAsia" w:eastAsiaTheme="minorEastAsia"/>
          <w:szCs w:val="21"/>
          <w:highlight w:val="none"/>
        </w:rPr>
        <w:t>对现金或者到期日在一年以内的政府债券的投资比例不低于基金资产净值的5%，而</w:t>
      </w:r>
      <w:r>
        <w:rPr>
          <w:rFonts w:hint="eastAsia" w:cs="Arial" w:asciiTheme="minorEastAsia" w:hAnsiTheme="minorEastAsia" w:eastAsiaTheme="minorEastAsia"/>
          <w:szCs w:val="21"/>
          <w:highlight w:val="none"/>
        </w:rPr>
        <w:t>博时中证金融科技主题交易型开放式指数证券投资基金则</w:t>
      </w:r>
      <w:r>
        <w:rPr>
          <w:rFonts w:cs="Arial" w:asciiTheme="minorEastAsia" w:hAnsiTheme="minorEastAsia" w:eastAsiaTheme="minorEastAsia"/>
          <w:szCs w:val="21"/>
          <w:highlight w:val="none"/>
        </w:rPr>
        <w:t>规定</w:t>
      </w:r>
      <w:r>
        <w:rPr>
          <w:rFonts w:hint="eastAsia" w:cs="Arial" w:asciiTheme="minorEastAsia" w:hAnsiTheme="minorEastAsia" w:eastAsiaTheme="minorEastAsia"/>
          <w:szCs w:val="21"/>
          <w:highlight w:val="none"/>
        </w:rPr>
        <w:t>在每个交易日日终在扣除股指期货、股票期权和国债期货合约需缴纳的交易保证金后，应当保持不低于交易保证金一倍的现金</w:t>
      </w:r>
      <w:r>
        <w:rPr>
          <w:rFonts w:cs="Arial" w:asciiTheme="minorEastAsia" w:hAnsiTheme="minorEastAsia" w:eastAsiaTheme="minorEastAsia"/>
          <w:szCs w:val="21"/>
          <w:highlight w:val="none"/>
        </w:rPr>
        <w:t>。</w:t>
      </w:r>
    </w:p>
    <w:p w14:paraId="6A1D7249">
      <w:pPr>
        <w:adjustRightInd w:val="0"/>
        <w:snapToGrid w:val="0"/>
        <w:spacing w:line="360" w:lineRule="auto"/>
        <w:rPr>
          <w:rFonts w:cs="Arial" w:asciiTheme="minorEastAsia" w:hAnsiTheme="minorEastAsia" w:eastAsiaTheme="minorEastAsia"/>
          <w:szCs w:val="21"/>
          <w:highlight w:val="none"/>
        </w:rPr>
      </w:pPr>
      <w:bookmarkStart w:id="83" w:name="_Hlt54601699"/>
      <w:bookmarkEnd w:id="83"/>
    </w:p>
    <w:p w14:paraId="4C36BCCF">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8" w:type="default"/>
          <w:pgSz w:w="11906" w:h="16838"/>
          <w:pgMar w:top="1418" w:right="1701" w:bottom="1418" w:left="1701" w:header="851" w:footer="992" w:gutter="0"/>
          <w:pgNumType w:start="1"/>
          <w:cols w:space="425" w:num="1"/>
          <w:formProt w:val="0"/>
          <w:docGrid w:type="lines" w:linePitch="312" w:charSpace="0"/>
        </w:sectPr>
      </w:pPr>
      <w:bookmarkStart w:id="84" w:name="_Toc90742322"/>
      <w:bookmarkStart w:id="85" w:name="_Toc90742391"/>
    </w:p>
    <w:bookmarkEnd w:id="74"/>
    <w:p w14:paraId="0A6DCB86">
      <w:pPr>
        <w:pStyle w:val="3"/>
        <w:adjustRightInd w:val="0"/>
        <w:snapToGrid w:val="0"/>
        <w:spacing w:before="312" w:beforeLines="100" w:after="0" w:line="360" w:lineRule="auto"/>
        <w:rPr>
          <w:rFonts w:asciiTheme="minorEastAsia" w:hAnsiTheme="minorEastAsia" w:eastAsiaTheme="minorEastAsia"/>
          <w:sz w:val="21"/>
          <w:highlight w:val="none"/>
        </w:rPr>
      </w:pPr>
      <w:bookmarkStart w:id="86" w:name="CLAUSE_f7bf8ad98e27407a8d29ffe15cf3e239"/>
      <w:r>
        <w:rPr>
          <w:rFonts w:asciiTheme="minorEastAsia" w:hAnsiTheme="minorEastAsia" w:eastAsiaTheme="minorEastAsia"/>
          <w:highlight w:val="none"/>
        </w:rPr>
        <w:t xml:space="preserve"> </w:t>
      </w:r>
      <w:bookmarkStart w:id="87" w:name="CTS_f7bf8ad98e27407a8d29ffe15cf3e239"/>
      <w:bookmarkEnd w:id="87"/>
      <w:bookmarkStart w:id="88" w:name="_Toc16237229"/>
      <w:r>
        <w:rPr>
          <w:rFonts w:hint="eastAsia" w:cs="Arial" w:asciiTheme="minorEastAsia" w:hAnsiTheme="minorEastAsia" w:eastAsiaTheme="minorEastAsia"/>
          <w:sz w:val="21"/>
          <w:szCs w:val="21"/>
          <w:highlight w:val="none"/>
        </w:rPr>
        <w:t xml:space="preserve">第四部分 </w:t>
      </w:r>
      <w:r>
        <w:rPr>
          <w:rFonts w:asciiTheme="minorEastAsia" w:hAnsiTheme="minorEastAsia" w:eastAsiaTheme="minorEastAsia"/>
          <w:sz w:val="21"/>
          <w:highlight w:val="none"/>
        </w:rPr>
        <w:t>基金</w:t>
      </w:r>
      <w:r>
        <w:rPr>
          <w:rFonts w:hint="eastAsia" w:asciiTheme="minorEastAsia" w:hAnsiTheme="minorEastAsia" w:eastAsiaTheme="minorEastAsia"/>
          <w:sz w:val="21"/>
          <w:highlight w:val="none"/>
        </w:rPr>
        <w:t>份额的发售</w:t>
      </w:r>
      <w:bookmarkEnd w:id="88"/>
    </w:p>
    <w:bookmarkEnd w:id="84"/>
    <w:bookmarkEnd w:id="85"/>
    <w:p w14:paraId="1F4F86FB">
      <w:pPr>
        <w:spacing w:line="360" w:lineRule="auto"/>
        <w:ind w:firstLine="420" w:firstLineChars="200"/>
        <w:rPr>
          <w:rFonts w:asciiTheme="minorEastAsia" w:hAnsiTheme="minorEastAsia" w:eastAsiaTheme="minorEastAsia"/>
          <w:bCs/>
          <w:kern w:val="44"/>
          <w:highlight w:val="none"/>
        </w:rPr>
      </w:pPr>
    </w:p>
    <w:p w14:paraId="3A3025F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一、基金份额的发售时间、发售方式、发售对象</w:t>
      </w:r>
    </w:p>
    <w:p w14:paraId="0026B03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、发售时间</w:t>
      </w:r>
    </w:p>
    <w:p w14:paraId="7D2001B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自基金份额发售之日起最长不得超过</w:t>
      </w:r>
      <w:r>
        <w:rPr>
          <w:rFonts w:asciiTheme="minorEastAsia" w:hAnsiTheme="minorEastAsia" w:eastAsiaTheme="minorEastAsia"/>
          <w:highlight w:val="none"/>
        </w:rPr>
        <w:t>3</w:t>
      </w:r>
      <w:r>
        <w:rPr>
          <w:rFonts w:hint="eastAsia" w:asciiTheme="minorEastAsia" w:hAnsiTheme="minorEastAsia" w:eastAsiaTheme="minorEastAsia"/>
          <w:highlight w:val="none"/>
        </w:rPr>
        <w:t>个月，具体发售时间见基金份额发售公告。</w:t>
      </w:r>
    </w:p>
    <w:p w14:paraId="0D8AF17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、发售方式</w:t>
      </w:r>
    </w:p>
    <w:p w14:paraId="7DC403D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通过各销售机构的基金销售网点公开发售，各销售机构的具体名单见基金份额发售公告及基金管理人网站。</w:t>
      </w:r>
    </w:p>
    <w:p w14:paraId="4E05474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、发售对象</w:t>
      </w:r>
    </w:p>
    <w:p w14:paraId="5E6845B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符合法律法规规定的可投资于证券投资基金的个人投资者、机构投资者、合格境外投资者以及法律法规或中国证监会允许购买证券投资基金的其他投资人。</w:t>
      </w:r>
    </w:p>
    <w:p w14:paraId="1C17FB5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二、基金份额的认购</w:t>
      </w:r>
    </w:p>
    <w:p w14:paraId="1611F03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、认购费用</w:t>
      </w:r>
    </w:p>
    <w:p w14:paraId="0B284FA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w:t>
      </w:r>
      <w:r>
        <w:rPr>
          <w:rFonts w:asciiTheme="minorEastAsia" w:hAnsiTheme="minorEastAsia" w:eastAsiaTheme="minorEastAsia"/>
          <w:highlight w:val="none"/>
        </w:rPr>
        <w:t>A</w:t>
      </w:r>
      <w:r>
        <w:rPr>
          <w:rFonts w:hint="eastAsia" w:asciiTheme="minorEastAsia" w:hAnsiTheme="minorEastAsia" w:eastAsiaTheme="minorEastAsia"/>
          <w:highlight w:val="none"/>
        </w:rPr>
        <w:t>类基金份额的认购费率由基金管理人决定，并在招募说明书及基金产品资料概要中列示。基金认购费用不列入基金财产。</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类基金份额不收取认购费用。</w:t>
      </w:r>
    </w:p>
    <w:p w14:paraId="7F9A5FF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、募集期利息的处理方式</w:t>
      </w:r>
    </w:p>
    <w:p w14:paraId="0FFC375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有效认购款项在募集期间产生的利息将折算为相应类别的基金份额归基金份额持有人所有，其中利息转份额的具体数额以登记机构的记录为准。</w:t>
      </w:r>
    </w:p>
    <w:p w14:paraId="5ECFFA4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、基金认购份额的计算</w:t>
      </w:r>
    </w:p>
    <w:p w14:paraId="634BBE2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基金认购份额具体的计算方法在招募说明书中列示。</w:t>
      </w:r>
    </w:p>
    <w:p w14:paraId="009CEAC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、认购份额余额的处理方式</w:t>
      </w:r>
    </w:p>
    <w:p w14:paraId="1C21843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认购份额</w:t>
      </w:r>
      <w:bookmarkStart w:id="89" w:name="OLE_LINK1"/>
      <w:r>
        <w:rPr>
          <w:rFonts w:hint="eastAsia" w:asciiTheme="minorEastAsia" w:hAnsiTheme="minorEastAsia" w:eastAsiaTheme="minorEastAsia"/>
          <w:highlight w:val="none"/>
        </w:rPr>
        <w:t>的计算</w:t>
      </w:r>
      <w:bookmarkEnd w:id="89"/>
      <w:r>
        <w:rPr>
          <w:rFonts w:hint="eastAsia" w:asciiTheme="minorEastAsia" w:hAnsiTheme="minorEastAsia" w:eastAsiaTheme="minorEastAsia"/>
          <w:highlight w:val="none"/>
        </w:rPr>
        <w:t>保留到小数点后</w:t>
      </w:r>
      <w:r>
        <w:rPr>
          <w:rFonts w:asciiTheme="minorEastAsia" w:hAnsiTheme="minorEastAsia" w:eastAsiaTheme="minorEastAsia"/>
          <w:highlight w:val="none"/>
        </w:rPr>
        <w:t>2</w:t>
      </w:r>
      <w:r>
        <w:rPr>
          <w:rFonts w:hint="eastAsia" w:asciiTheme="minorEastAsia" w:hAnsiTheme="minorEastAsia" w:eastAsiaTheme="minorEastAsia"/>
          <w:highlight w:val="none"/>
        </w:rPr>
        <w:t>位，小数点</w:t>
      </w:r>
      <w:r>
        <w:rPr>
          <w:rFonts w:asciiTheme="minorEastAsia" w:hAnsiTheme="minorEastAsia" w:eastAsiaTheme="minorEastAsia"/>
          <w:highlight w:val="none"/>
        </w:rPr>
        <w:t>2</w:t>
      </w:r>
      <w:r>
        <w:rPr>
          <w:rFonts w:hint="eastAsia" w:asciiTheme="minorEastAsia" w:hAnsiTheme="minorEastAsia" w:eastAsiaTheme="minorEastAsia"/>
          <w:highlight w:val="none"/>
        </w:rPr>
        <w:t>位以后的部分四舍五入，由此误差产生的收益或损失由基金财产承担。</w:t>
      </w:r>
    </w:p>
    <w:p w14:paraId="2DFC3BD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、认购申请的确认</w:t>
      </w:r>
    </w:p>
    <w:p w14:paraId="7553041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p>
    <w:p w14:paraId="456D29B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三、基金份额认购金额的限制</w:t>
      </w:r>
    </w:p>
    <w:p w14:paraId="476636A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、投资人认购时，需按销售机构规定的方式全额缴款。</w:t>
      </w:r>
    </w:p>
    <w:p w14:paraId="292F56A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、基金管理人可以对每个基金交易账户的单笔最低认购金额进行限制，具体限制请参看招募说明书或相关公告。</w:t>
      </w:r>
    </w:p>
    <w:p w14:paraId="3AD67EF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、基金管理人可以对募集期间的单个投资人的累计认购金额进行限制，具体限制和处理方法请参看招募说明书或相关公告。</w:t>
      </w:r>
    </w:p>
    <w:p w14:paraId="49C9425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、投资者在募集期内可以多次认购基金份额，A类基金份额的认购费按每笔该类基金份额认购申请单独计算，但已受理的认购申请不允许撤销。</w:t>
      </w:r>
    </w:p>
    <w:p w14:paraId="07B160A8">
      <w:pPr>
        <w:adjustRightInd w:val="0"/>
        <w:snapToGrid w:val="0"/>
        <w:spacing w:line="360" w:lineRule="auto"/>
        <w:ind w:firstLine="422" w:firstLineChars="201"/>
        <w:rPr>
          <w:rFonts w:asciiTheme="minorEastAsia" w:hAnsiTheme="minorEastAsia" w:eastAsiaTheme="minorEastAsia"/>
          <w:kern w:val="0"/>
          <w:highlight w:val="none"/>
        </w:rPr>
      </w:pPr>
      <w:bookmarkStart w:id="90" w:name="_Toc123051452"/>
      <w:bookmarkStart w:id="91" w:name="_Toc90742392"/>
      <w:bookmarkStart w:id="92" w:name="_Toc141703886"/>
      <w:bookmarkStart w:id="93" w:name="_Toc23822"/>
      <w:bookmarkStart w:id="94" w:name="_Toc23261"/>
      <w:bookmarkStart w:id="95" w:name="_Toc48649707"/>
      <w:bookmarkStart w:id="96" w:name="_Toc90742323"/>
      <w:bookmarkStart w:id="97" w:name="_Toc79392606"/>
      <w:bookmarkStart w:id="98" w:name="_Toc10463"/>
      <w:bookmarkStart w:id="99" w:name="_Toc123102453"/>
      <w:bookmarkStart w:id="100" w:name="_Toc123112234"/>
      <w:bookmarkStart w:id="101" w:name="_Toc4003"/>
      <w:bookmarkStart w:id="102" w:name="_Toc139991736"/>
      <w:bookmarkStart w:id="103" w:name="_Toc17244"/>
      <w:bookmarkStart w:id="104" w:name="_Toc1427"/>
      <w:bookmarkStart w:id="105" w:name="_Toc1270"/>
      <w:bookmarkStart w:id="106" w:name="_Toc98560352"/>
      <w:bookmarkStart w:id="107" w:name="_Toc11081"/>
      <w:bookmarkStart w:id="108" w:name="_Toc20733"/>
      <w:bookmarkStart w:id="109" w:name="_Toc610"/>
      <w:bookmarkStart w:id="110" w:name="_Toc7920"/>
      <w:r>
        <w:rPr>
          <w:rFonts w:hint="eastAsia" w:asciiTheme="minorEastAsia" w:hAnsiTheme="minorEastAsia" w:eastAsiaTheme="minorEastAsia"/>
          <w:kern w:val="0"/>
          <w:highlight w:val="none"/>
        </w:rPr>
        <w:t>四、募集规模上限</w:t>
      </w:r>
    </w:p>
    <w:p w14:paraId="12F51964">
      <w:pPr>
        <w:adjustRightInd w:val="0"/>
        <w:snapToGrid w:val="0"/>
        <w:spacing w:line="360" w:lineRule="auto"/>
        <w:ind w:firstLine="422" w:firstLineChars="201"/>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本基金可设置首次募集规模上限，具体募集上限及规模控制的方案详见基金份额发售公告或其他公告。若本基金设置首次募集规模上限，基金合同生效后不受此募集规模的限制。</w:t>
      </w:r>
    </w:p>
    <w:p w14:paraId="3A1973AB">
      <w:pPr>
        <w:adjustRightInd w:val="0"/>
        <w:snapToGrid w:val="0"/>
        <w:spacing w:line="360" w:lineRule="auto"/>
        <w:ind w:firstLine="422" w:firstLineChars="201"/>
        <w:rPr>
          <w:rFonts w:asciiTheme="minorEastAsia" w:hAnsiTheme="minorEastAsia" w:eastAsiaTheme="minorEastAsia"/>
          <w:kern w:val="0"/>
          <w:highlight w:val="none"/>
        </w:rPr>
        <w:sectPr>
          <w:footerReference r:id="rId9" w:type="default"/>
          <w:pgSz w:w="11906" w:h="16838"/>
          <w:pgMar w:top="1418" w:right="1701" w:bottom="1418" w:left="1701" w:header="851" w:footer="992" w:gutter="0"/>
          <w:pgNumType w:start="1"/>
          <w:cols w:space="425" w:num="1"/>
          <w:formProt w:val="0"/>
          <w:docGrid w:type="lines" w:linePitch="312" w:charSpace="0"/>
        </w:sectPr>
      </w:pPr>
    </w:p>
    <w:bookmarkEnd w:id="86"/>
    <w:p w14:paraId="2A967105">
      <w:pPr>
        <w:pStyle w:val="3"/>
        <w:adjustRightInd w:val="0"/>
        <w:snapToGrid w:val="0"/>
        <w:spacing w:before="312" w:beforeLines="100" w:after="0" w:line="360" w:lineRule="auto"/>
        <w:rPr>
          <w:rFonts w:asciiTheme="minorEastAsia" w:hAnsiTheme="minorEastAsia" w:eastAsiaTheme="minorEastAsia"/>
          <w:sz w:val="21"/>
          <w:highlight w:val="none"/>
        </w:rPr>
      </w:pPr>
      <w:bookmarkStart w:id="111" w:name="_Toc491864731"/>
      <w:bookmarkStart w:id="112" w:name="CLAUSE_cbabb9685f034759afe9cb9787846695"/>
      <w:r>
        <w:rPr>
          <w:rFonts w:asciiTheme="minorEastAsia" w:hAnsiTheme="minorEastAsia" w:eastAsiaTheme="minorEastAsia"/>
          <w:highlight w:val="none"/>
        </w:rPr>
        <w:t xml:space="preserve"> </w:t>
      </w:r>
      <w:bookmarkStart w:id="113" w:name="CTS_cbabb9685f034759afe9cb9787846695"/>
      <w:bookmarkEnd w:id="113"/>
      <w:bookmarkStart w:id="114" w:name="_Toc16237230"/>
      <w:r>
        <w:rPr>
          <w:rFonts w:hint="eastAsia" w:cs="Arial" w:asciiTheme="minorEastAsia" w:hAnsiTheme="minorEastAsia" w:eastAsiaTheme="minorEastAsia"/>
          <w:sz w:val="21"/>
          <w:szCs w:val="21"/>
          <w:highlight w:val="none"/>
        </w:rPr>
        <w:t xml:space="preserve">第五部分 </w:t>
      </w:r>
      <w:r>
        <w:rPr>
          <w:rFonts w:hint="eastAsia" w:asciiTheme="minorEastAsia" w:hAnsiTheme="minorEastAsia" w:eastAsiaTheme="minorEastAsia"/>
          <w:sz w:val="21"/>
          <w:highlight w:val="none"/>
        </w:rPr>
        <w:t>基金备案</w:t>
      </w:r>
      <w:bookmarkEnd w:id="111"/>
      <w:bookmarkEnd w:id="114"/>
    </w:p>
    <w:p w14:paraId="6F4D28AD">
      <w:pPr>
        <w:spacing w:line="360" w:lineRule="auto"/>
        <w:ind w:firstLine="540"/>
        <w:rPr>
          <w:rFonts w:asciiTheme="minorEastAsia" w:hAnsiTheme="minorEastAsia" w:eastAsiaTheme="minorEastAsia"/>
          <w:bCs/>
          <w:sz w:val="24"/>
          <w:highlight w:val="none"/>
        </w:rPr>
      </w:pPr>
    </w:p>
    <w:p w14:paraId="53E3375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一、基金备案的条件</w:t>
      </w:r>
    </w:p>
    <w:p w14:paraId="6813939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14:paraId="569AA32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648963E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基金管理人应将基金募集期间募集的资金存入专门账户，在基金募集行为结束前，任何人不得动用。</w:t>
      </w:r>
    </w:p>
    <w:p w14:paraId="040523F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二、基金合同不能生效时募集资金的处理方式</w:t>
      </w:r>
    </w:p>
    <w:p w14:paraId="43CF1BB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如果募集期限届满，未满足基金备案条件，基金管理人应当承担下列责任：</w:t>
      </w:r>
    </w:p>
    <w:p w14:paraId="3ED19D7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、以其固有财产承担因募集行为而产生的债务和费用；</w:t>
      </w:r>
    </w:p>
    <w:p w14:paraId="48A30BC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、在基金募集期限届满后</w:t>
      </w:r>
      <w:r>
        <w:rPr>
          <w:rFonts w:asciiTheme="minorEastAsia" w:hAnsiTheme="minorEastAsia" w:eastAsiaTheme="minorEastAsia"/>
          <w:highlight w:val="none"/>
        </w:rPr>
        <w:t>30</w:t>
      </w:r>
      <w:r>
        <w:rPr>
          <w:rFonts w:hint="eastAsia" w:asciiTheme="minorEastAsia" w:hAnsiTheme="minorEastAsia" w:eastAsiaTheme="minorEastAsia"/>
          <w:highlight w:val="none"/>
        </w:rPr>
        <w:t>日内返还投资者已交纳的款项，并加计银行同期活期存款利息；</w:t>
      </w:r>
    </w:p>
    <w:p w14:paraId="668FDEC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、如基金募集失败，基金管理人、基金托管人及销售机构不得请求报酬。基金管理人、基金托管人和销售机构为基金募集支付之一切费用应由各方各自承担。</w:t>
      </w:r>
    </w:p>
    <w:p w14:paraId="3FCC17E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三、基金存续期内的基金份额持有人数量和资产规模</w:t>
      </w:r>
    </w:p>
    <w:p w14:paraId="74EEB6F2">
      <w:pPr>
        <w:adjustRightInd w:val="0"/>
        <w:snapToGrid w:val="0"/>
        <w:spacing w:line="360" w:lineRule="auto"/>
        <w:ind w:firstLine="420" w:firstLineChars="200"/>
        <w:rPr>
          <w:rFonts w:asciiTheme="minorEastAsia" w:hAnsiTheme="minorEastAsia" w:eastAsiaTheme="minorEastAsia"/>
          <w:highlight w:val="none"/>
        </w:rPr>
      </w:pPr>
      <w:bookmarkStart w:id="115" w:name="_Toc410197819"/>
      <w:r>
        <w:rPr>
          <w:rFonts w:hint="eastAsia" w:asciiTheme="minorEastAsia" w:hAnsiTheme="minorEastAsia" w:eastAsiaTheme="minorEastAsia"/>
          <w:highlight w:val="none"/>
        </w:rPr>
        <w:t>《基金合同》生效后，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六个月内召集基金份额持有人大会。</w:t>
      </w:r>
    </w:p>
    <w:p w14:paraId="08773B58">
      <w:pPr>
        <w:spacing w:line="360" w:lineRule="auto"/>
        <w:ind w:firstLine="420" w:firstLineChars="200"/>
        <w:rPr>
          <w:rFonts w:asciiTheme="minorEastAsia" w:hAnsiTheme="minorEastAsia" w:eastAsiaTheme="minorEastAsia"/>
          <w:bCs/>
          <w:sz w:val="24"/>
          <w:highlight w:val="none"/>
        </w:rPr>
      </w:pPr>
      <w:r>
        <w:rPr>
          <w:rFonts w:hint="eastAsia" w:asciiTheme="minorEastAsia" w:hAnsiTheme="minorEastAsia" w:eastAsiaTheme="minorEastAsia"/>
          <w:highlight w:val="none"/>
        </w:rPr>
        <w:t>法律法规或中国证监会另有规定时，从其规定。</w:t>
      </w:r>
      <w:bookmarkEnd w:id="115"/>
    </w:p>
    <w:bookmarkEnd w:id="112"/>
    <w:p w14:paraId="3B5849EA">
      <w:pPr>
        <w:adjustRightInd w:val="0"/>
        <w:snapToGrid w:val="0"/>
        <w:spacing w:line="360" w:lineRule="auto"/>
        <w:ind w:firstLine="482" w:firstLineChars="201"/>
        <w:rPr>
          <w:rFonts w:asciiTheme="minorEastAsia" w:hAnsiTheme="minorEastAsia" w:eastAsiaTheme="minorEastAsia"/>
          <w:bCs/>
          <w:sz w:val="24"/>
          <w:highlight w:val="none"/>
        </w:rPr>
        <w:sectPr>
          <w:footerReference r:id="rId10" w:type="default"/>
          <w:pgSz w:w="11906" w:h="16838"/>
          <w:pgMar w:top="1418" w:right="1701" w:bottom="1418" w:left="1701" w:header="851" w:footer="992" w:gutter="0"/>
          <w:pgNumType w:start="1"/>
          <w:cols w:space="425" w:num="1"/>
          <w:formProt w:val="0"/>
          <w:docGrid w:type="lines" w:linePitch="312" w:charSpace="0"/>
        </w:sectPr>
      </w:pPr>
    </w:p>
    <w:p w14:paraId="411C379C">
      <w:pPr>
        <w:pStyle w:val="3"/>
        <w:adjustRightInd w:val="0"/>
        <w:snapToGrid w:val="0"/>
        <w:spacing w:before="312" w:beforeLines="100" w:after="0" w:line="360" w:lineRule="auto"/>
        <w:rPr>
          <w:rFonts w:asciiTheme="minorEastAsia" w:hAnsiTheme="minorEastAsia" w:eastAsiaTheme="minorEastAsia"/>
          <w:sz w:val="21"/>
          <w:highlight w:val="none"/>
        </w:rPr>
      </w:pPr>
      <w:bookmarkStart w:id="116" w:name="_Toc16237231"/>
      <w:bookmarkStart w:id="117" w:name="CLAUSE_308687ae3fda464c8888781a7adc5b53"/>
      <w:r>
        <w:rPr>
          <w:rFonts w:hint="eastAsia" w:cs="Arial" w:asciiTheme="minorEastAsia" w:hAnsiTheme="minorEastAsia" w:eastAsiaTheme="minorEastAsia"/>
          <w:sz w:val="21"/>
          <w:szCs w:val="21"/>
          <w:highlight w:val="none"/>
        </w:rPr>
        <w:t xml:space="preserve">第六部分 </w:t>
      </w:r>
      <w:bookmarkStart w:id="118" w:name="CTS_308687ae3fda464c8888781a7adc5b53"/>
      <w:bookmarkEnd w:id="118"/>
      <w:r>
        <w:rPr>
          <w:rFonts w:hint="eastAsia" w:asciiTheme="minorEastAsia" w:hAnsiTheme="minorEastAsia" w:eastAsiaTheme="minorEastAsia"/>
          <w:sz w:val="21"/>
          <w:highlight w:val="none"/>
        </w:rPr>
        <w:t>基金份额的申购与赎回</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6"/>
    </w:p>
    <w:p w14:paraId="18E21592">
      <w:pPr>
        <w:spacing w:line="360" w:lineRule="auto"/>
        <w:ind w:firstLine="540"/>
        <w:rPr>
          <w:rFonts w:asciiTheme="minorEastAsia" w:hAnsiTheme="minorEastAsia" w:eastAsiaTheme="minorEastAsia"/>
          <w:bCs/>
          <w:sz w:val="24"/>
          <w:highlight w:val="none"/>
        </w:rPr>
      </w:pPr>
    </w:p>
    <w:p w14:paraId="4B52917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一、申购和赎回场所</w:t>
      </w:r>
    </w:p>
    <w:p w14:paraId="35D3AD4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本基金的申购与赎回将通过销售机构进行。具体的销售机构将由基金管理人在招募说明书或基金管理人网站列明。</w:t>
      </w:r>
    </w:p>
    <w:p w14:paraId="1F3DCBB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基金管理人可根据情况变更或增减销售机构。基金投资者应当在销售机构办理基金销售业务的营业场所或按销售机构提供的其他方式办理基金份额的申购与赎回。</w:t>
      </w:r>
    </w:p>
    <w:p w14:paraId="6CD33BA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二、申购和赎回的开放日及时间</w:t>
      </w:r>
    </w:p>
    <w:p w14:paraId="2A0C13A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、开放日及开放时间</w:t>
      </w:r>
    </w:p>
    <w:p w14:paraId="2E51EEF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在开放日办理基金份额的申购和/或赎回。投资人在开放日办理申购和/或赎回的具体办理时间为上海证券交易所、深圳证券交易所及相关期货交易所的正常交易日的交易时间，但基金管理人根据法律法规、中国证监会的要求或本基金合同的规定公告暂停申购、赎回时除外。开放日的具体业务办理时间在招募说明书或相关公告中载明。</w:t>
      </w:r>
    </w:p>
    <w:p w14:paraId="783A6B4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695B67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、申购、赎回开始日及业务办理时间</w:t>
      </w:r>
    </w:p>
    <w:p w14:paraId="220DD5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基金管理人可根据实际情况依法决定本基金开始办理申购的具体日期，具体业务办理时间在申购开始公告中规定。</w:t>
      </w:r>
    </w:p>
    <w:p w14:paraId="689755A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基金管理人自基金合同生效之日起不超过3个月开始办理赎回，具体业务办理时间在赎回开始公告中规定。</w:t>
      </w:r>
    </w:p>
    <w:p w14:paraId="3D10762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在确定申购开始与赎回开始时间后，基金管理人应在申购、赎回开放日前依照《信息披露办法》的有关规定在规定媒介上公告申购与赎回的开始时间。</w:t>
      </w:r>
    </w:p>
    <w:p w14:paraId="0BA5754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p w14:paraId="47E9F0D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三、申购与赎回的原则</w:t>
      </w:r>
    </w:p>
    <w:p w14:paraId="669D9CF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w:t>
      </w:r>
      <w:r>
        <w:rPr>
          <w:rFonts w:asciiTheme="minorEastAsia" w:hAnsiTheme="minorEastAsia" w:eastAsiaTheme="minorEastAsia"/>
          <w:highlight w:val="none"/>
        </w:rPr>
        <w:t>“</w:t>
      </w:r>
      <w:r>
        <w:rPr>
          <w:rFonts w:hint="eastAsia" w:asciiTheme="minorEastAsia" w:hAnsiTheme="minorEastAsia" w:eastAsiaTheme="minorEastAsia"/>
          <w:highlight w:val="none"/>
        </w:rPr>
        <w:t>未知价</w:t>
      </w:r>
      <w:r>
        <w:rPr>
          <w:rFonts w:asciiTheme="minorEastAsia" w:hAnsiTheme="minorEastAsia" w:eastAsiaTheme="minorEastAsia"/>
          <w:highlight w:val="none"/>
        </w:rPr>
        <w:t>”</w:t>
      </w:r>
      <w:r>
        <w:rPr>
          <w:rFonts w:hint="eastAsia" w:asciiTheme="minorEastAsia" w:hAnsiTheme="minorEastAsia" w:eastAsiaTheme="minorEastAsia"/>
          <w:highlight w:val="none"/>
        </w:rPr>
        <w:t>原则，即申购、赎回价格以申请当日收市后计算的各类基金份额净值为基准进行计算；</w:t>
      </w:r>
    </w:p>
    <w:p w14:paraId="3141BF2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w:t>
      </w:r>
      <w:r>
        <w:rPr>
          <w:rFonts w:asciiTheme="minorEastAsia" w:hAnsiTheme="minorEastAsia" w:eastAsiaTheme="minorEastAsia"/>
          <w:highlight w:val="none"/>
        </w:rPr>
        <w:t>“</w:t>
      </w:r>
      <w:r>
        <w:rPr>
          <w:rFonts w:hint="eastAsia" w:asciiTheme="minorEastAsia" w:hAnsiTheme="minorEastAsia" w:eastAsiaTheme="minorEastAsia"/>
          <w:highlight w:val="none"/>
        </w:rPr>
        <w:t>金额申购、份额赎回</w:t>
      </w:r>
      <w:r>
        <w:rPr>
          <w:rFonts w:asciiTheme="minorEastAsia" w:hAnsiTheme="minorEastAsia" w:eastAsiaTheme="minorEastAsia"/>
          <w:highlight w:val="none"/>
        </w:rPr>
        <w:t>”</w:t>
      </w:r>
      <w:r>
        <w:rPr>
          <w:rFonts w:hint="eastAsia" w:asciiTheme="minorEastAsia" w:hAnsiTheme="minorEastAsia" w:eastAsiaTheme="minorEastAsia"/>
          <w:highlight w:val="none"/>
        </w:rPr>
        <w:t>原则，即申购以金额申请，赎回以份额申请；</w:t>
      </w:r>
    </w:p>
    <w:p w14:paraId="2828C3E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、当日的申购与赎回申请可以在基金管理人规定的时间以内撤销；</w:t>
      </w:r>
    </w:p>
    <w:p w14:paraId="13CC9AE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、赎回遵循</w:t>
      </w:r>
      <w:r>
        <w:rPr>
          <w:rFonts w:asciiTheme="minorEastAsia" w:hAnsiTheme="minorEastAsia" w:eastAsiaTheme="minorEastAsia"/>
          <w:highlight w:val="none"/>
        </w:rPr>
        <w:t>“</w:t>
      </w:r>
      <w:r>
        <w:rPr>
          <w:rFonts w:hint="eastAsia" w:asciiTheme="minorEastAsia" w:hAnsiTheme="minorEastAsia" w:eastAsiaTheme="minorEastAsia"/>
          <w:highlight w:val="none"/>
        </w:rPr>
        <w:t>先进先出</w:t>
      </w:r>
      <w:r>
        <w:rPr>
          <w:rFonts w:asciiTheme="minorEastAsia" w:hAnsiTheme="minorEastAsia" w:eastAsiaTheme="minorEastAsia"/>
          <w:highlight w:val="none"/>
        </w:rPr>
        <w:t>”</w:t>
      </w:r>
      <w:r>
        <w:rPr>
          <w:rFonts w:hint="eastAsia" w:asciiTheme="minorEastAsia" w:hAnsiTheme="minorEastAsia" w:eastAsiaTheme="minorEastAsia"/>
          <w:highlight w:val="none"/>
        </w:rPr>
        <w:t>原则，即按照投资人认购、申购的先后次序进行顺序赎回；</w:t>
      </w:r>
    </w:p>
    <w:p w14:paraId="5296A3E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、办理申购、赎回业务时，应当遵循基金份额持有人利益优先原则，确保投资者的合法权益不受损害并得到公平对待。</w:t>
      </w:r>
    </w:p>
    <w:p w14:paraId="429D114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基金管理人可在不违反法律法规的情况下，对上述原则进行调整。基金管理人必须在新规则开始实施前依照《信息披露办法》的有关规定在规定媒介上公告。</w:t>
      </w:r>
    </w:p>
    <w:p w14:paraId="57769E7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四、申购与赎回的程序</w:t>
      </w:r>
    </w:p>
    <w:p w14:paraId="3785DD2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、申购和赎回的申请方式</w:t>
      </w:r>
    </w:p>
    <w:p w14:paraId="6CB558F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投资人必须根据销售机构规定的程序，在开放日的具体业务办理时间内提出申购或赎回的申请。</w:t>
      </w:r>
    </w:p>
    <w:p w14:paraId="640E702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、申购和赎回的款项支付</w:t>
      </w:r>
    </w:p>
    <w:p w14:paraId="2905752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投资人申购基金份额时，必须全额交付申购款项，投资人全额交付申购款项，申购成立；基金份额登记机构确认基金份额时，申购生效。</w:t>
      </w:r>
    </w:p>
    <w:p w14:paraId="76334E4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递交赎回申请，赎回成立；基金份额登记机构确认赎回时，赎回生效。投资者赎回申请生效后，基金管理人将在T＋7日(包括该日)内支付赎回款项。在发生巨额赎回或本基金合同约定的延缓支付赎回款项的情形时，款项的支付办法参照本基金合同有关条款处理。</w:t>
      </w:r>
    </w:p>
    <w:p w14:paraId="644399A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遇目标ETF的投资市场休市、目标ETF暂停交易或赎回、目标ETF延迟支付赎回对价或延迟交收、交易所或登记机构的交易结算规则发生较大变化、本基金交易所或交易市场数据传输延迟、通讯系统故障、银行数据交换系统故障或其他非基金管理人及基金托管人所能控制的因素影响业务处理流程，则赎回款项划付时间相应顺延至该因素消除的最近一个工作日。</w:t>
      </w:r>
    </w:p>
    <w:p w14:paraId="43FBD1E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、申购和赎回申请的确认</w:t>
      </w:r>
    </w:p>
    <w:p w14:paraId="30179F0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基金管理人应以交易时间结束前受理有效申购和赎回申请的当天作为申购或赎回申请日</w:t>
      </w:r>
      <w:r>
        <w:rPr>
          <w:rFonts w:asciiTheme="minorEastAsia" w:hAnsiTheme="minorEastAsia" w:eastAsiaTheme="minorEastAsia"/>
          <w:highlight w:val="none"/>
        </w:rPr>
        <w:t>(T</w:t>
      </w:r>
      <w:r>
        <w:rPr>
          <w:rFonts w:hint="eastAsia" w:asciiTheme="minorEastAsia" w:hAnsiTheme="minorEastAsia" w:eastAsiaTheme="minorEastAsia"/>
          <w:highlight w:val="none"/>
        </w:rPr>
        <w:t>日</w:t>
      </w:r>
      <w:r>
        <w:rPr>
          <w:rFonts w:asciiTheme="minorEastAsia" w:hAnsiTheme="minorEastAsia" w:eastAsiaTheme="minorEastAsia"/>
          <w:highlight w:val="none"/>
        </w:rPr>
        <w:t>)</w:t>
      </w:r>
      <w:r>
        <w:rPr>
          <w:rFonts w:hint="eastAsia" w:asciiTheme="minorEastAsia" w:hAnsiTheme="minorEastAsia" w:eastAsiaTheme="minorEastAsia"/>
          <w:highlight w:val="none"/>
        </w:rPr>
        <w:t>，在正常情况下，本基金登记机构在</w:t>
      </w:r>
      <w:r>
        <w:rPr>
          <w:rFonts w:asciiTheme="minorEastAsia" w:hAnsiTheme="minorEastAsia" w:eastAsiaTheme="minorEastAsia"/>
          <w:highlight w:val="none"/>
        </w:rPr>
        <w:t>T+1</w:t>
      </w:r>
      <w:r>
        <w:rPr>
          <w:rFonts w:hint="eastAsia" w:asciiTheme="minorEastAsia" w:hAnsiTheme="minorEastAsia" w:eastAsiaTheme="minorEastAsia"/>
          <w:highlight w:val="none"/>
        </w:rPr>
        <w:t>日内对该交易的有效性进行确认。</w:t>
      </w:r>
      <w:r>
        <w:rPr>
          <w:rFonts w:asciiTheme="minorEastAsia" w:hAnsiTheme="minorEastAsia" w:eastAsiaTheme="minorEastAsia"/>
          <w:highlight w:val="none"/>
        </w:rPr>
        <w:t>T</w:t>
      </w:r>
      <w:r>
        <w:rPr>
          <w:rFonts w:hint="eastAsia" w:asciiTheme="minorEastAsia" w:hAnsiTheme="minorEastAsia" w:eastAsiaTheme="minorEastAsia"/>
          <w:highlight w:val="none"/>
        </w:rPr>
        <w:t>日提交的有效申请，投资人应在</w:t>
      </w:r>
      <w:r>
        <w:rPr>
          <w:rFonts w:asciiTheme="minorEastAsia" w:hAnsiTheme="minorEastAsia" w:eastAsiaTheme="minorEastAsia"/>
          <w:highlight w:val="none"/>
        </w:rPr>
        <w:t>T+2</w:t>
      </w:r>
      <w:r>
        <w:rPr>
          <w:rFonts w:hint="eastAsia" w:asciiTheme="minorEastAsia" w:hAnsiTheme="minorEastAsia" w:eastAsiaTheme="minorEastAsia"/>
          <w:highlight w:val="none"/>
        </w:rPr>
        <w:t>日后</w:t>
      </w:r>
      <w:r>
        <w:rPr>
          <w:rFonts w:asciiTheme="minorEastAsia" w:hAnsiTheme="minorEastAsia" w:eastAsiaTheme="minorEastAsia"/>
          <w:highlight w:val="none"/>
        </w:rPr>
        <w:t>(</w:t>
      </w:r>
      <w:r>
        <w:rPr>
          <w:rFonts w:hint="eastAsia" w:asciiTheme="minorEastAsia" w:hAnsiTheme="minorEastAsia" w:eastAsiaTheme="minorEastAsia"/>
          <w:highlight w:val="none"/>
        </w:rPr>
        <w:t>包括该日</w:t>
      </w:r>
      <w:r>
        <w:rPr>
          <w:rFonts w:asciiTheme="minorEastAsia" w:hAnsiTheme="minorEastAsia" w:eastAsiaTheme="minorEastAsia"/>
          <w:highlight w:val="none"/>
        </w:rPr>
        <w:t>)</w:t>
      </w:r>
      <w:r>
        <w:rPr>
          <w:rFonts w:hint="eastAsia" w:asciiTheme="minorEastAsia" w:hAnsiTheme="minorEastAsia" w:eastAsiaTheme="minorEastAsia"/>
          <w:highlight w:val="none"/>
        </w:rPr>
        <w:t>及时到销售网点柜台或以销售机构规定的其他方式查询申请的确认情况。若申购不成功或无效，则申购款项本金退还给投资人。</w:t>
      </w:r>
    </w:p>
    <w:p w14:paraId="0DD8C49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基金销售机构对申购、赎回申请的受理并不代表申请一定成功，而仅代表销售机构确实接收到申请。申购、赎回申请的确认以登记机构的确认结果为准。对于申请的确认情况，投资者应及时查询。</w:t>
      </w:r>
    </w:p>
    <w:p w14:paraId="5D0D732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4、基金管理人可以在不违反法律法规和基金合同的范围内，对上述业务办理时间进行调整，并在调整实施前依照《信息披露办法》的有关规定在规定媒介上公告。</w:t>
      </w:r>
    </w:p>
    <w:p w14:paraId="2BD132B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五、申购和赎回的数量限制</w:t>
      </w:r>
    </w:p>
    <w:p w14:paraId="52230BB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、基金管理人可以规定投资人首次申购和每次申购的最低金额以及每次赎回的最低份额，具体规定请参见招募说明书或相关公告。</w:t>
      </w:r>
    </w:p>
    <w:p w14:paraId="5FCE193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、基金管理人可以规定投资人每个基金交易账户的最低基金份额余额，具体规定请参见招募说明书或相关公告。</w:t>
      </w:r>
    </w:p>
    <w:p w14:paraId="5981B52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、基金管理人可以规定单个投资人累计持有的基金份额上限、基金总规模、单日净申购比例上限、单一投资者单日或单笔申购金额上限，具体规定请参见招募说明书或相关公告。</w:t>
      </w:r>
    </w:p>
    <w:p w14:paraId="778F040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56DAC7D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5、基金管理人可在不违反法律法规的情况下，调整上述规定申购金额和赎回份额等数量限制。基金管理人必须在调整实施前依照《信息披露办法》的有关规定在规定媒介上公告。</w:t>
      </w:r>
    </w:p>
    <w:p w14:paraId="4AA8434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六、申购和赎回的价格、费用及其用途</w:t>
      </w:r>
    </w:p>
    <w:p w14:paraId="50C1B8E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、本基金</w:t>
      </w:r>
      <w:r>
        <w:rPr>
          <w:rFonts w:asciiTheme="minorEastAsia" w:hAnsiTheme="minorEastAsia" w:eastAsiaTheme="minorEastAsia"/>
          <w:highlight w:val="none"/>
        </w:rPr>
        <w:t>A</w:t>
      </w:r>
      <w:r>
        <w:rPr>
          <w:rFonts w:hint="eastAsia" w:asciiTheme="minorEastAsia" w:hAnsiTheme="minorEastAsia" w:eastAsiaTheme="minorEastAsia"/>
          <w:highlight w:val="none"/>
        </w:rPr>
        <w:t>类基金份额和</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类基金份额分别设置代码，分别计算和公告各类基金份额净值和各类基金份额累计净值。本基金各类基金份额净值的计算，均保留到小数点后</w:t>
      </w:r>
      <w:r>
        <w:rPr>
          <w:rFonts w:asciiTheme="minorEastAsia" w:hAnsiTheme="minorEastAsia" w:eastAsiaTheme="minorEastAsia"/>
          <w:highlight w:val="none"/>
        </w:rPr>
        <w:t>4</w:t>
      </w:r>
      <w:r>
        <w:rPr>
          <w:rFonts w:hint="eastAsia" w:asciiTheme="minorEastAsia" w:hAnsiTheme="minorEastAsia" w:eastAsiaTheme="minorEastAsia"/>
          <w:highlight w:val="none"/>
        </w:rPr>
        <w:t>位，小数点后第</w:t>
      </w:r>
      <w:r>
        <w:rPr>
          <w:rFonts w:asciiTheme="minorEastAsia" w:hAnsiTheme="minorEastAsia" w:eastAsiaTheme="minorEastAsia"/>
          <w:highlight w:val="none"/>
        </w:rPr>
        <w:t>5</w:t>
      </w:r>
      <w:r>
        <w:rPr>
          <w:rFonts w:hint="eastAsia" w:asciiTheme="minorEastAsia" w:hAnsiTheme="minorEastAsia" w:eastAsiaTheme="minorEastAsia"/>
          <w:highlight w:val="none"/>
        </w:rPr>
        <w:t>位四舍五入，由此产生的收益或损失由基金财产承担。</w:t>
      </w:r>
      <w:r>
        <w:rPr>
          <w:rFonts w:asciiTheme="minorEastAsia" w:hAnsiTheme="minorEastAsia" w:eastAsiaTheme="minorEastAsia"/>
          <w:highlight w:val="none"/>
        </w:rPr>
        <w:t>T</w:t>
      </w:r>
      <w:r>
        <w:rPr>
          <w:rFonts w:hint="eastAsia" w:asciiTheme="minorEastAsia" w:hAnsiTheme="minorEastAsia" w:eastAsiaTheme="minorEastAsia"/>
          <w:highlight w:val="none"/>
        </w:rPr>
        <w:t>日的各类基金份额净值在当天收市后计算，并按基金</w:t>
      </w:r>
      <w:r>
        <w:rPr>
          <w:rFonts w:asciiTheme="minorEastAsia" w:hAnsiTheme="minorEastAsia" w:eastAsiaTheme="minorEastAsia"/>
          <w:highlight w:val="none"/>
        </w:rPr>
        <w:t>合同约定</w:t>
      </w:r>
      <w:r>
        <w:rPr>
          <w:rFonts w:hint="eastAsia" w:asciiTheme="minorEastAsia" w:hAnsiTheme="minorEastAsia" w:eastAsiaTheme="minorEastAsia"/>
          <w:highlight w:val="none"/>
        </w:rPr>
        <w:t>公告。遇特殊情况，经履行适当程序，可以适当延迟计算或公告。</w:t>
      </w:r>
    </w:p>
    <w:p w14:paraId="1943ABD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、申购份额的计算及余额的处理方式：本基金申购份额的计算详见《招募说明书》。本基金</w:t>
      </w:r>
      <w:r>
        <w:rPr>
          <w:rFonts w:asciiTheme="minorEastAsia" w:hAnsiTheme="minorEastAsia" w:eastAsiaTheme="minorEastAsia"/>
          <w:highlight w:val="none"/>
        </w:rPr>
        <w:t>A</w:t>
      </w:r>
      <w:r>
        <w:rPr>
          <w:rFonts w:hint="eastAsia" w:asciiTheme="minorEastAsia" w:hAnsiTheme="minorEastAsia" w:eastAsiaTheme="minorEastAsia"/>
          <w:highlight w:val="none"/>
        </w:rPr>
        <w:t>类基金份额的申购费率由基金管理人决定，并在招募说明书及基金产品资料概要中列示；</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类基金份额不收取申购费用。申购的有效份额为净申购金额除以当日的该类基金份额净值，有效份额单位为份，上述计算结果均按四舍五入方法，保留到小数点后</w:t>
      </w:r>
      <w:r>
        <w:rPr>
          <w:rFonts w:asciiTheme="minorEastAsia" w:hAnsiTheme="minorEastAsia" w:eastAsiaTheme="minorEastAsia"/>
          <w:highlight w:val="none"/>
        </w:rPr>
        <w:t>2</w:t>
      </w:r>
      <w:r>
        <w:rPr>
          <w:rFonts w:hint="eastAsia" w:asciiTheme="minorEastAsia" w:hAnsiTheme="minorEastAsia" w:eastAsiaTheme="minorEastAsia"/>
          <w:highlight w:val="none"/>
        </w:rPr>
        <w:t>位，由此产生的收益或损失由基金财产承担。</w:t>
      </w:r>
    </w:p>
    <w:p w14:paraId="329F6C1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Pr>
          <w:rFonts w:asciiTheme="minorEastAsia" w:hAnsiTheme="minorEastAsia" w:eastAsiaTheme="minorEastAsia"/>
          <w:highlight w:val="none"/>
        </w:rPr>
        <w:t>2</w:t>
      </w:r>
      <w:r>
        <w:rPr>
          <w:rFonts w:hint="eastAsia" w:asciiTheme="minorEastAsia" w:hAnsiTheme="minorEastAsia" w:eastAsiaTheme="minorEastAsia"/>
          <w:highlight w:val="none"/>
        </w:rPr>
        <w:t>位，由此产生的收益或损失由基金财产承担。</w:t>
      </w:r>
    </w:p>
    <w:p w14:paraId="0F923D4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、A类基金份额申购费用由申购A类基金份额的投资人承担，不列入基金财产。</w:t>
      </w:r>
    </w:p>
    <w:p w14:paraId="1C8494A3">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6A3B658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本基金A类基金份额收取申购费用，C类基金份额不收取申购费用。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1D4634C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基金管理人可以在不违反法律法规规定及基金合同约定的情形下，且对基金份额持有人利益无实质性不利影响的前提下，根据市场情况制定基金促销计划，定期或不定期地开展基金促销活动。在基金促销活动期间，按相关监管部门要求履行必要手续后，基金管理人可以适当调低基金的申购费率、赎回费率和销售服务费率。</w:t>
      </w:r>
    </w:p>
    <w:p w14:paraId="3343188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8</w:t>
      </w:r>
      <w:r>
        <w:rPr>
          <w:rFonts w:hint="eastAsia" w:asciiTheme="minorEastAsia" w:hAnsiTheme="minorEastAsia" w:eastAsiaTheme="minorEastAsia"/>
          <w:highlight w:val="none"/>
        </w:rPr>
        <w:t>、当本基金各类份额发生大额申购或赎回情形时，基金管理人可以采用摆动定价机制以确保基金估值的公平性。具体处理原则与操作规范遵循相关法律法规以及监管部门、自律规则的规定。</w:t>
      </w:r>
    </w:p>
    <w:p w14:paraId="38622BE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七、拒绝或暂停申购的情形</w:t>
      </w:r>
    </w:p>
    <w:p w14:paraId="40CF276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发生下列情况时，基金管理人可拒绝或暂停接受投资人的申购申请：</w:t>
      </w:r>
    </w:p>
    <w:p w14:paraId="019313A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1、因不可抗力导致基金无法正常运作、基金管理人无法受理或办理基金份额持有人的申购申请。</w:t>
      </w:r>
    </w:p>
    <w:p w14:paraId="0C21E2D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2、发生基金合同规定的暂停基金资产估值情况。</w:t>
      </w:r>
    </w:p>
    <w:p w14:paraId="5C411F4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3、证券、期货交易所或交易时间非正常停市，导致基金管理人无法计算当日基金资产净值或无法进行证券交易。</w:t>
      </w:r>
    </w:p>
    <w:p w14:paraId="4960A57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4、接受某笔或某些申购申请可能会影响或损害现有基金份额持有人利益。</w:t>
      </w:r>
    </w:p>
    <w:p w14:paraId="6E3C8BA6">
      <w:pPr>
        <w:adjustRightInd w:val="0"/>
        <w:snapToGrid w:val="0"/>
        <w:spacing w:line="360" w:lineRule="auto"/>
        <w:ind w:firstLine="420" w:firstLineChars="200"/>
        <w:rPr>
          <w:rFonts w:asciiTheme="minorEastAsia" w:hAnsiTheme="minorEastAsia" w:eastAsiaTheme="minorEastAsia"/>
          <w:highlight w:val="none"/>
        </w:rPr>
      </w:pPr>
      <w:bookmarkStart w:id="119" w:name="_Hlt70481650"/>
      <w:bookmarkEnd w:id="119"/>
      <w:r>
        <w:rPr>
          <w:rFonts w:hint="eastAsia" w:asciiTheme="minorEastAsia" w:hAnsiTheme="minorEastAsia" w:eastAsiaTheme="minorEastAsia"/>
          <w:highlight w:val="none"/>
        </w:rPr>
        <w:t>5、基金资产规模过大，使基金管理人无法找到合适的投资品种，或其他可能对基金业绩产生负面影响，或发生其他损害现有基金份额持有人利益的情形。</w:t>
      </w:r>
    </w:p>
    <w:p w14:paraId="18B347B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6、当前一估值日基金资产净值50%以上的资产出现无可参考的活跃市场价格且采用估值技术仍导致公允价值存在重大不确定性时，经与基金托管人协商确认后，基金管理人应当暂停接受基金申购申请。</w:t>
      </w:r>
    </w:p>
    <w:p w14:paraId="0D81079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、所投资的目标ETF暂停估值，导致基金管理人无法计算当日基金资产净值。</w:t>
      </w:r>
    </w:p>
    <w:p w14:paraId="7493211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8</w:t>
      </w:r>
      <w:r>
        <w:rPr>
          <w:rFonts w:hint="eastAsia" w:asciiTheme="minorEastAsia" w:hAnsiTheme="minorEastAsia" w:eastAsiaTheme="minorEastAsia"/>
          <w:highlight w:val="none"/>
        </w:rPr>
        <w:t>、所投资的目标ETF暂停申购或二级市场交易停牌。</w:t>
      </w:r>
    </w:p>
    <w:p w14:paraId="6862624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9</w:t>
      </w:r>
      <w:r>
        <w:rPr>
          <w:rFonts w:hint="eastAsia" w:asciiTheme="minorEastAsia" w:hAnsiTheme="minorEastAsia" w:eastAsiaTheme="minorEastAsia"/>
          <w:highlight w:val="none"/>
        </w:rPr>
        <w:t>、申请超过基金管理人设定的基金总规模、单日净申购比例上限、单一投资者单日或单笔申购金额上限。</w:t>
      </w:r>
    </w:p>
    <w:p w14:paraId="6F21BBD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10、基金管理人、基金托管人、销售机构或登记机构的技术故障等异常情况导致基金销售系统、基金登记系统或基金会计系统无法正常运行。</w:t>
      </w:r>
    </w:p>
    <w:p w14:paraId="63324A2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11、法律法规规定或中国证监会认定的其他情形。</w:t>
      </w:r>
    </w:p>
    <w:p w14:paraId="26BE50B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发生上述第1、2、3、5、6、7、8、1</w:t>
      </w:r>
      <w:r>
        <w:rPr>
          <w:rFonts w:asciiTheme="minorEastAsia" w:hAnsiTheme="minorEastAsia" w:eastAsiaTheme="minorEastAsia"/>
          <w:highlight w:val="none"/>
        </w:rPr>
        <w:t>0</w:t>
      </w:r>
      <w:r>
        <w:rPr>
          <w:rFonts w:hint="eastAsia" w:asciiTheme="minorEastAsia" w:hAnsiTheme="minorEastAsia" w:eastAsiaTheme="minorEastAsia"/>
          <w:highlight w:val="none"/>
        </w:rPr>
        <w:t>、11项暂停申购情形之一且基金管理人决定暂停接受投资人申购申请时，基金管理人应当根据有关规定在规定媒介上刊登暂停申购公告。如果投资人的申购申请全部或部分被拒绝的，被拒绝的申购款项本金将退还给投资人。在暂停申购的情况消除时，基金管理人应及时恢复申购业务的办理。</w:t>
      </w:r>
    </w:p>
    <w:p w14:paraId="0988E97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八、暂停赎回或延缓支付赎回款项的情形</w:t>
      </w:r>
    </w:p>
    <w:p w14:paraId="66B362F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发生下列情形时，基金管理人可暂停接受投资人的赎回申请或延缓支付赎回款项：</w:t>
      </w:r>
    </w:p>
    <w:p w14:paraId="144262E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、因不可抗力导致基金管理人无法受理或办理基金份额持有人的赎回申请。</w:t>
      </w:r>
    </w:p>
    <w:p w14:paraId="0A9A7A3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、发生基金合同规定的暂停基金资产估值情况。</w:t>
      </w:r>
    </w:p>
    <w:p w14:paraId="5E0F310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、证券、期货交易所或交易时间非正常停市，导致基金管理人无法计算当日基金资产</w:t>
      </w:r>
      <w:bookmarkStart w:id="120" w:name="_Hlt152500890"/>
      <w:r>
        <w:rPr>
          <w:rFonts w:hint="eastAsia" w:asciiTheme="minorEastAsia" w:hAnsiTheme="minorEastAsia" w:eastAsiaTheme="minorEastAsia"/>
          <w:highlight w:val="none"/>
        </w:rPr>
        <w:t>净值或无法进行证券交易。</w:t>
      </w:r>
    </w:p>
    <w:p w14:paraId="6023FBD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、连续两个或两个以上开放日发生巨额赎回。</w:t>
      </w:r>
    </w:p>
    <w:bookmarkEnd w:id="120"/>
    <w:p w14:paraId="0CC83D6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、所投资的目标ETF暂停估值，导致基金管理人无法计算当日基金资产净值。</w:t>
      </w:r>
    </w:p>
    <w:p w14:paraId="13B9C62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、所投资的目标ETF暂停赎回、延缓支付赎回对价、暂停上市或二级市场交易停牌。</w:t>
      </w:r>
    </w:p>
    <w:p w14:paraId="51E7E49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7、发生继续接受赎回申请将损害现有基金份额持有人利益的情形时，基金管理人可暂停接受投资人的赎回申请。</w:t>
      </w:r>
    </w:p>
    <w:p w14:paraId="6F1DFE43">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8</w:t>
      </w:r>
      <w:r>
        <w:rPr>
          <w:rFonts w:hint="eastAsia" w:asciiTheme="minorEastAsia" w:hAnsiTheme="minorEastAsia" w:eastAsiaTheme="minorEastAsia"/>
          <w:highlight w:val="none"/>
        </w:rPr>
        <w:t>、本基金当日总赎回份额达到基金管理人所设定的上限，基金管理人可拒绝赎回申请。</w:t>
      </w:r>
    </w:p>
    <w:p w14:paraId="4337BCE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9、当前一估值日基金资产净值50%以上的</w:t>
      </w:r>
      <w:r>
        <w:rPr>
          <w:rFonts w:hint="eastAsia" w:asciiTheme="minorEastAsia" w:hAnsiTheme="minorEastAsia" w:eastAsiaTheme="minorEastAsia"/>
          <w:highlight w:val="none"/>
        </w:rPr>
        <w:t>资产出现无可参考的活跃市场价格且采用估值技术仍导致公允价值存在重大不确定性时，经与基金托管人协商确认后，基金管理人应当延缓</w:t>
      </w:r>
      <w:r>
        <w:rPr>
          <w:rFonts w:asciiTheme="minorEastAsia" w:hAnsiTheme="minorEastAsia" w:eastAsiaTheme="minorEastAsia"/>
          <w:highlight w:val="none"/>
        </w:rPr>
        <w:t>支付赎回款项或</w:t>
      </w:r>
      <w:r>
        <w:rPr>
          <w:rFonts w:hint="eastAsia" w:asciiTheme="minorEastAsia" w:hAnsiTheme="minorEastAsia" w:eastAsiaTheme="minorEastAsia"/>
          <w:highlight w:val="none"/>
        </w:rPr>
        <w:t>暂停接受基金赎回申请。</w:t>
      </w:r>
    </w:p>
    <w:p w14:paraId="5FFFD87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10</w:t>
      </w:r>
      <w:r>
        <w:rPr>
          <w:rFonts w:hint="eastAsia" w:asciiTheme="minorEastAsia" w:hAnsiTheme="minorEastAsia" w:eastAsiaTheme="minorEastAsia"/>
          <w:highlight w:val="none"/>
        </w:rPr>
        <w:t>、法律法规规定或中国证监会认定的其他情形。</w:t>
      </w:r>
    </w:p>
    <w:p w14:paraId="366CB70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发生上述情形（第</w:t>
      </w:r>
      <w:r>
        <w:rPr>
          <w:rFonts w:asciiTheme="minorEastAsia" w:hAnsiTheme="minorEastAsia" w:eastAsiaTheme="minorEastAsia"/>
          <w:highlight w:val="none"/>
        </w:rPr>
        <w:t>4</w:t>
      </w:r>
      <w:r>
        <w:rPr>
          <w:rFonts w:hint="eastAsia" w:asciiTheme="minorEastAsia" w:hAnsiTheme="minorEastAsia" w:eastAsiaTheme="minorEastAsia"/>
          <w:highlight w:val="none"/>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Theme="minorEastAsia" w:hAnsiTheme="minorEastAsia" w:eastAsiaTheme="minorEastAsia"/>
          <w:highlight w:val="none"/>
        </w:rPr>
        <w:t>4</w:t>
      </w:r>
      <w:r>
        <w:rPr>
          <w:rFonts w:hint="eastAsia" w:asciiTheme="minorEastAsia" w:hAnsiTheme="minorEastAsia" w:eastAsiaTheme="minorEastAsia"/>
          <w:highlight w:val="none"/>
        </w:rPr>
        <w:t>项所述情形，按基金合同的相关条款处理。基金份额持有人在申请赎回时可事先选择将当日可能未获受理部分予以撤销。在暂停赎回的情况消除时，基金管理人应及时恢复赎回业务的办理并公告。</w:t>
      </w:r>
    </w:p>
    <w:p w14:paraId="2522648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九、巨额赎回的情形及处理方式</w:t>
      </w:r>
    </w:p>
    <w:p w14:paraId="11F9C96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、巨额赎回的认定</w:t>
      </w:r>
    </w:p>
    <w:p w14:paraId="55CE5CE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若本基金单个开放日内的基金份额净赎回申请</w:t>
      </w:r>
      <w:r>
        <w:rPr>
          <w:rFonts w:asciiTheme="minorEastAsia" w:hAnsiTheme="minorEastAsia" w:eastAsiaTheme="minorEastAsia"/>
          <w:highlight w:val="none"/>
        </w:rPr>
        <w:t>(</w:t>
      </w:r>
      <w:r>
        <w:rPr>
          <w:rFonts w:hint="eastAsia" w:asciiTheme="minorEastAsia" w:hAnsiTheme="minorEastAsia" w:eastAsiaTheme="minorEastAsia"/>
          <w:highlight w:val="none"/>
        </w:rPr>
        <w:t>赎回申请份额总数加上基金转换中转出申请份额总数后扣除申购申请份额总数及基金转换中转入申请份额总数后的余额</w:t>
      </w:r>
      <w:r>
        <w:rPr>
          <w:rFonts w:asciiTheme="minorEastAsia" w:hAnsiTheme="minorEastAsia" w:eastAsiaTheme="minorEastAsia"/>
          <w:highlight w:val="none"/>
        </w:rPr>
        <w:t>)</w:t>
      </w:r>
      <w:r>
        <w:rPr>
          <w:rFonts w:hint="eastAsia" w:asciiTheme="minorEastAsia" w:hAnsiTheme="minorEastAsia" w:eastAsiaTheme="minorEastAsia"/>
          <w:highlight w:val="none"/>
        </w:rPr>
        <w:t>超过前一开放日的基金总份额的</w:t>
      </w:r>
      <w:r>
        <w:rPr>
          <w:rFonts w:asciiTheme="minorEastAsia" w:hAnsiTheme="minorEastAsia" w:eastAsiaTheme="minorEastAsia"/>
          <w:highlight w:val="none"/>
        </w:rPr>
        <w:t>10%</w:t>
      </w:r>
      <w:r>
        <w:rPr>
          <w:rFonts w:hint="eastAsia" w:asciiTheme="minorEastAsia" w:hAnsiTheme="minorEastAsia" w:eastAsiaTheme="minorEastAsia"/>
          <w:highlight w:val="none"/>
        </w:rPr>
        <w:t>，即认为是发生了巨额赎回。</w:t>
      </w:r>
    </w:p>
    <w:p w14:paraId="7F8B32E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、巨额赎回的处理方式</w:t>
      </w:r>
    </w:p>
    <w:p w14:paraId="071BCB5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当基金出现巨额赎回时，基金管理人可以根据基金当时的资产组合状况决定全额赎回或部分延期赎回或</w:t>
      </w:r>
      <w:r>
        <w:rPr>
          <w:rFonts w:asciiTheme="minorEastAsia" w:hAnsiTheme="minorEastAsia" w:eastAsiaTheme="minorEastAsia"/>
          <w:highlight w:val="none"/>
        </w:rPr>
        <w:t>暂停赎回</w:t>
      </w:r>
      <w:r>
        <w:rPr>
          <w:rFonts w:hint="eastAsia" w:asciiTheme="minorEastAsia" w:hAnsiTheme="minorEastAsia" w:eastAsiaTheme="minorEastAsia"/>
          <w:highlight w:val="none"/>
        </w:rPr>
        <w:t>。</w:t>
      </w:r>
    </w:p>
    <w:p w14:paraId="72BC52C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）全额赎回：当基金管理人认为有能力支付投资人的全部赎回申请时，按正常赎回程序执行。</w:t>
      </w:r>
      <w:r>
        <w:rPr>
          <w:rFonts w:asciiTheme="minorEastAsia" w:hAnsiTheme="minorEastAsia" w:eastAsiaTheme="minorEastAsia"/>
          <w:highlight w:val="none"/>
        </w:rPr>
        <w:t xml:space="preserve"> </w:t>
      </w:r>
    </w:p>
    <w:p w14:paraId="1660A7C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heme="minorEastAsia" w:hAnsiTheme="minorEastAsia" w:eastAsiaTheme="minorEastAsia"/>
          <w:highlight w:val="none"/>
        </w:rPr>
        <w:t>10%</w:t>
      </w:r>
      <w:r>
        <w:rPr>
          <w:rFonts w:hint="eastAsia" w:asciiTheme="minorEastAsia" w:hAnsiTheme="minorEastAsia" w:eastAsiaTheme="minorEastAsia"/>
          <w:highlight w:val="none"/>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2407D26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asciiTheme="minorEastAsia" w:hAnsiTheme="minorEastAsia" w:eastAsiaTheme="minorEastAsia"/>
          <w:bCs/>
          <w:highlight w:val="none"/>
        </w:rPr>
        <w:t>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14:paraId="63F0225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（4）暂停赎回：连续</w:t>
      </w:r>
      <w:r>
        <w:rPr>
          <w:rFonts w:asciiTheme="minorEastAsia" w:hAnsiTheme="minorEastAsia" w:eastAsiaTheme="minorEastAsia"/>
          <w:highlight w:val="none"/>
        </w:rPr>
        <w:t>2</w:t>
      </w:r>
      <w:r>
        <w:rPr>
          <w:rFonts w:hint="eastAsia" w:asciiTheme="minorEastAsia" w:hAnsiTheme="minorEastAsia" w:eastAsiaTheme="minorEastAsia"/>
          <w:highlight w:val="none"/>
        </w:rPr>
        <w:t>个开放日以上</w:t>
      </w:r>
      <w:r>
        <w:rPr>
          <w:rFonts w:asciiTheme="minorEastAsia" w:hAnsiTheme="minorEastAsia" w:eastAsiaTheme="minorEastAsia"/>
          <w:highlight w:val="none"/>
        </w:rPr>
        <w:t>(</w:t>
      </w:r>
      <w:r>
        <w:rPr>
          <w:rFonts w:hint="eastAsia" w:asciiTheme="minorEastAsia" w:hAnsiTheme="minorEastAsia" w:eastAsiaTheme="minorEastAsia"/>
          <w:highlight w:val="none"/>
        </w:rPr>
        <w:t>含本数</w:t>
      </w:r>
      <w:r>
        <w:rPr>
          <w:rFonts w:asciiTheme="minorEastAsia" w:hAnsiTheme="minorEastAsia" w:eastAsiaTheme="minorEastAsia"/>
          <w:highlight w:val="none"/>
        </w:rPr>
        <w:t>)</w:t>
      </w:r>
      <w:r>
        <w:rPr>
          <w:rFonts w:hint="eastAsia" w:asciiTheme="minorEastAsia" w:hAnsiTheme="minorEastAsia" w:eastAsiaTheme="minorEastAsia"/>
          <w:highlight w:val="none"/>
        </w:rPr>
        <w:t>发生巨额赎回，如基金管理人认为有必要，可暂停接受基金的赎回申请；已经接受的赎回申请可以延缓支付赎回款项，但不得超过</w:t>
      </w:r>
      <w:r>
        <w:rPr>
          <w:rFonts w:asciiTheme="minorEastAsia" w:hAnsiTheme="minorEastAsia" w:eastAsiaTheme="minorEastAsia"/>
          <w:highlight w:val="none"/>
        </w:rPr>
        <w:t>20</w:t>
      </w:r>
      <w:r>
        <w:rPr>
          <w:rFonts w:hint="eastAsia" w:asciiTheme="minorEastAsia" w:hAnsiTheme="minorEastAsia" w:eastAsiaTheme="minorEastAsia"/>
          <w:highlight w:val="none"/>
        </w:rPr>
        <w:t>个工作日，并应当在规定媒介上进行公告。</w:t>
      </w:r>
    </w:p>
    <w:p w14:paraId="0A8168F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、巨额赎回的公告</w:t>
      </w:r>
    </w:p>
    <w:p w14:paraId="0813134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当发生上述巨额赎回并延期办理时，基金管理人应当通过邮寄、传真或者招募说明书规定的其他方式在</w:t>
      </w:r>
      <w:r>
        <w:rPr>
          <w:rFonts w:asciiTheme="minorEastAsia" w:hAnsiTheme="minorEastAsia" w:eastAsiaTheme="minorEastAsia"/>
          <w:highlight w:val="none"/>
        </w:rPr>
        <w:t>3</w:t>
      </w:r>
      <w:r>
        <w:rPr>
          <w:rFonts w:hint="eastAsia" w:asciiTheme="minorEastAsia" w:hAnsiTheme="minorEastAsia" w:eastAsiaTheme="minorEastAsia"/>
          <w:highlight w:val="none"/>
        </w:rPr>
        <w:t>个交易日内通知基金份额持有人，说明有关处理方法，并在2日内在规定媒介上刊登公告。</w:t>
      </w:r>
    </w:p>
    <w:p w14:paraId="5DA5DAF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十、暂停申购或赎回的公告和重新开放申购或赎回的公告</w:t>
      </w:r>
    </w:p>
    <w:p w14:paraId="48A4822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、发生上述暂停申购或赎回情况的，基金管理人应在规定期限内在规定媒介上刊登暂停公告。</w:t>
      </w:r>
    </w:p>
    <w:p w14:paraId="567EB98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376C22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3、上述暂停申购或赎回情况消除的，基金管理人应于重新开放日公布最近</w:t>
      </w:r>
      <w:r>
        <w:rPr>
          <w:rFonts w:asciiTheme="minorEastAsia" w:hAnsiTheme="minorEastAsia" w:eastAsiaTheme="minorEastAsia"/>
          <w:highlight w:val="none"/>
        </w:rPr>
        <w:t>1</w:t>
      </w:r>
      <w:r>
        <w:rPr>
          <w:rFonts w:hint="eastAsia" w:asciiTheme="minorEastAsia" w:hAnsiTheme="minorEastAsia" w:eastAsiaTheme="minorEastAsia"/>
          <w:highlight w:val="none"/>
        </w:rPr>
        <w:t>个开放日各类基金份额净值。</w:t>
      </w:r>
    </w:p>
    <w:p w14:paraId="46C43D8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十一、基金转换</w:t>
      </w:r>
    </w:p>
    <w:p w14:paraId="1F6A17E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8FBE660">
      <w:pPr>
        <w:adjustRightInd w:val="0"/>
        <w:snapToGrid w:val="0"/>
        <w:spacing w:line="360" w:lineRule="auto"/>
        <w:ind w:firstLine="420" w:firstLineChars="200"/>
        <w:rPr>
          <w:rFonts w:asciiTheme="minorEastAsia" w:hAnsiTheme="minorEastAsia" w:eastAsiaTheme="minorEastAsia"/>
          <w:highlight w:val="none"/>
        </w:rPr>
      </w:pPr>
      <w:bookmarkStart w:id="121" w:name="_Toc139351272"/>
      <w:bookmarkStart w:id="122" w:name="_Toc193527473"/>
      <w:bookmarkStart w:id="123" w:name="_Toc57100846"/>
      <w:bookmarkStart w:id="124" w:name="_Toc92871516"/>
      <w:bookmarkStart w:id="125" w:name="_Toc119493934"/>
      <w:bookmarkStart w:id="126" w:name="_Toc119493448"/>
      <w:bookmarkStart w:id="127" w:name="_Toc93045566"/>
      <w:bookmarkStart w:id="128" w:name="_Toc119493257"/>
      <w:bookmarkStart w:id="129" w:name="_Toc139351145"/>
      <w:r>
        <w:rPr>
          <w:rFonts w:hint="eastAsia" w:asciiTheme="minorEastAsia" w:hAnsiTheme="minorEastAsia" w:eastAsiaTheme="minorEastAsia"/>
          <w:highlight w:val="none"/>
        </w:rPr>
        <w:t>十二、基金的非交易过户</w:t>
      </w:r>
      <w:bookmarkEnd w:id="121"/>
      <w:bookmarkEnd w:id="122"/>
      <w:bookmarkEnd w:id="123"/>
      <w:bookmarkEnd w:id="124"/>
      <w:bookmarkEnd w:id="125"/>
      <w:bookmarkEnd w:id="126"/>
      <w:bookmarkEnd w:id="127"/>
      <w:bookmarkEnd w:id="128"/>
      <w:bookmarkEnd w:id="129"/>
    </w:p>
    <w:p w14:paraId="673098B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209A46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C0D6A2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十三、基金的转托管</w:t>
      </w:r>
    </w:p>
    <w:p w14:paraId="789B085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基金份额持有人可办理已持有基金份额在不同销售机构之间的转托管，基金销售机构可以按照规定的标准收取转托管费。</w:t>
      </w:r>
    </w:p>
    <w:p w14:paraId="11DD59C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十四、定期定额投资计划</w:t>
      </w:r>
    </w:p>
    <w:p w14:paraId="2925F61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EFB8D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十五、基金份额的冻结、解冻、质押或其他基金业务</w:t>
      </w:r>
    </w:p>
    <w:p w14:paraId="1D1A871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基金登记机构只受理国家有权机关依法要求的基金份额的冻结与解冻，以及登记机构认可、符合法律法规的其他情况下的冻结与解冻。</w:t>
      </w:r>
    </w:p>
    <w:p w14:paraId="29FE58B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基金份额被冻结的，被冻结部分产生的权益一并冻结，被冻结部分份额仍然参与收益分配与支付。法律法规另有规定的除外。</w:t>
      </w:r>
    </w:p>
    <w:p w14:paraId="330F0697">
      <w:pPr>
        <w:adjustRightInd w:val="0"/>
        <w:snapToGrid w:val="0"/>
        <w:spacing w:line="360" w:lineRule="auto"/>
        <w:ind w:firstLine="420" w:firstLineChars="200"/>
        <w:rPr>
          <w:rFonts w:asciiTheme="minorEastAsia" w:hAnsiTheme="minorEastAsia" w:eastAsiaTheme="minorEastAsia"/>
          <w:highlight w:val="none"/>
        </w:rPr>
      </w:pPr>
      <w:bookmarkStart w:id="130" w:name="_Toc29251"/>
      <w:bookmarkStart w:id="131" w:name="_Toc14835"/>
      <w:bookmarkStart w:id="132" w:name="_Toc141703887"/>
      <w:bookmarkStart w:id="133" w:name="_Toc3601"/>
      <w:bookmarkStart w:id="134" w:name="_Toc26207"/>
      <w:bookmarkStart w:id="135" w:name="_Toc98560353"/>
      <w:bookmarkStart w:id="136" w:name="_Toc15143"/>
      <w:bookmarkStart w:id="137" w:name="_Toc6405"/>
      <w:bookmarkStart w:id="138" w:name="_Toc12245"/>
      <w:bookmarkStart w:id="139" w:name="_Toc139991737"/>
      <w:bookmarkStart w:id="140" w:name="_Toc123102454"/>
      <w:bookmarkStart w:id="141" w:name="_Toc31644"/>
      <w:bookmarkStart w:id="142" w:name="_Toc123051453"/>
      <w:bookmarkStart w:id="143" w:name="_Toc31235"/>
      <w:bookmarkStart w:id="144" w:name="_Toc31653"/>
      <w:bookmarkStart w:id="145" w:name="_Toc123112235"/>
      <w:bookmarkStart w:id="146" w:name="_Toc16859"/>
      <w:r>
        <w:rPr>
          <w:rFonts w:hint="eastAsia" w:asciiTheme="minorEastAsia" w:hAnsiTheme="minorEastAsia" w:eastAsiaTheme="minorEastAsia"/>
          <w:highlight w:val="none"/>
        </w:rPr>
        <w:t>如相关法律法规允许基金管理人办理基金份额的质押业务或其他基金业务，基金管理人将制定和实施相应的业务规则。</w:t>
      </w:r>
    </w:p>
    <w:p w14:paraId="4A92BD0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十六、基金份额的转让</w:t>
      </w:r>
    </w:p>
    <w:p w14:paraId="59F29F6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在法律法规允许且条件具备的情况下，</w:t>
      </w:r>
      <w:r>
        <w:rPr>
          <w:rFonts w:hint="eastAsia" w:asciiTheme="minorEastAsia" w:hAnsiTheme="minorEastAsia" w:eastAsiaTheme="minorEastAsia"/>
          <w:color w:val="0D0D0D" w:themeColor="text1" w:themeTint="F2"/>
          <w:kern w:val="0"/>
          <w:highlight w:val="none"/>
          <w14:textFill>
            <w14:solidFill>
              <w14:schemeClr w14:val="tx1">
                <w14:lumMod w14:val="95000"/>
                <w14:lumOff w14:val="5000"/>
              </w14:schemeClr>
            </w14:solidFill>
          </w14:textFill>
        </w:rPr>
        <w:t>如对</w:t>
      </w:r>
      <w:r>
        <w:rPr>
          <w:rFonts w:asciiTheme="minorEastAsia" w:hAnsiTheme="minorEastAsia" w:eastAsiaTheme="minorEastAsia"/>
          <w:color w:val="0D0D0D" w:themeColor="text1" w:themeTint="F2"/>
          <w:kern w:val="0"/>
          <w:highlight w:val="none"/>
          <w14:textFill>
            <w14:solidFill>
              <w14:schemeClr w14:val="tx1">
                <w14:lumMod w14:val="95000"/>
                <w14:lumOff w14:val="5000"/>
              </w14:schemeClr>
            </w14:solidFill>
          </w14:textFill>
        </w:rPr>
        <w:t>存量基金份额持有人利益</w:t>
      </w:r>
      <w:r>
        <w:rPr>
          <w:rFonts w:hint="eastAsia" w:asciiTheme="minorEastAsia" w:hAnsiTheme="minorEastAsia" w:eastAsiaTheme="minorEastAsia"/>
          <w:color w:val="0D0D0D" w:themeColor="text1" w:themeTint="F2"/>
          <w:kern w:val="0"/>
          <w:highlight w:val="none"/>
          <w14:textFill>
            <w14:solidFill>
              <w14:schemeClr w14:val="tx1">
                <w14:lumMod w14:val="95000"/>
                <w14:lumOff w14:val="5000"/>
              </w14:schemeClr>
            </w14:solidFill>
          </w14:textFill>
        </w:rPr>
        <w:t>无实质性</w:t>
      </w:r>
      <w:r>
        <w:rPr>
          <w:rFonts w:asciiTheme="minorEastAsia" w:hAnsiTheme="minorEastAsia" w:eastAsiaTheme="minorEastAsia"/>
          <w:color w:val="0D0D0D" w:themeColor="text1" w:themeTint="F2"/>
          <w:kern w:val="0"/>
          <w:highlight w:val="none"/>
          <w14:textFill>
            <w14:solidFill>
              <w14:schemeClr w14:val="tx1">
                <w14:lumMod w14:val="95000"/>
                <w14:lumOff w14:val="5000"/>
              </w14:schemeClr>
            </w14:solidFill>
          </w14:textFill>
        </w:rPr>
        <w:t>不利影响</w:t>
      </w:r>
      <w:r>
        <w:rPr>
          <w:rFonts w:hint="eastAsia" w:asciiTheme="minorEastAsia" w:hAnsiTheme="minorEastAsia" w:eastAsiaTheme="minorEastAsia"/>
          <w:color w:val="0D0D0D" w:themeColor="text1" w:themeTint="F2"/>
          <w:kern w:val="0"/>
          <w:highlight w:val="none"/>
          <w14:textFill>
            <w14:solidFill>
              <w14:schemeClr w14:val="tx1">
                <w14:lumMod w14:val="95000"/>
                <w14:lumOff w14:val="5000"/>
              </w14:schemeClr>
            </w14:solidFill>
          </w14:textFill>
        </w:rPr>
        <w:t>，基金管理人经履行相关程序后</w:t>
      </w:r>
      <w:r>
        <w:rPr>
          <w:rFonts w:hint="eastAsia" w:asciiTheme="minorEastAsia" w:hAnsiTheme="minorEastAsia" w:eastAsiaTheme="minorEastAsia"/>
          <w:highlight w:val="none"/>
        </w:rPr>
        <w:t>可受理基金份额持有人通过中国证监会认可的交易场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42D558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十七、实施侧袋机制期间本基金的申购与赎回</w:t>
      </w:r>
    </w:p>
    <w:p w14:paraId="5F43015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本基金实施侧袋机制的，本基金的申购和赎回安排详见招募说明书或相关公告。</w:t>
      </w:r>
    </w:p>
    <w:p w14:paraId="28A5A947">
      <w:pPr>
        <w:adjustRightInd w:val="0"/>
        <w:snapToGrid w:val="0"/>
        <w:spacing w:line="360" w:lineRule="auto"/>
        <w:ind w:firstLine="420" w:firstLineChars="200"/>
        <w:rPr>
          <w:rFonts w:asciiTheme="minorEastAsia" w:hAnsiTheme="minorEastAsia" w:eastAsiaTheme="minorEastAsia"/>
          <w:highlight w:val="none"/>
        </w:rPr>
      </w:pPr>
    </w:p>
    <w:p w14:paraId="3A4EF40A">
      <w:pPr>
        <w:adjustRightInd w:val="0"/>
        <w:snapToGrid w:val="0"/>
        <w:spacing w:line="360" w:lineRule="auto"/>
        <w:rPr>
          <w:rFonts w:cs="Arial" w:asciiTheme="minorEastAsia" w:hAnsiTheme="minorEastAsia" w:eastAsiaTheme="minorEastAsia"/>
          <w:szCs w:val="21"/>
          <w:highlight w:val="none"/>
        </w:rPr>
      </w:pPr>
    </w:p>
    <w:p w14:paraId="320B04AF">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1" w:type="default"/>
          <w:pgSz w:w="11906" w:h="16838"/>
          <w:pgMar w:top="1418" w:right="1701" w:bottom="1418" w:left="1701" w:header="851" w:footer="992" w:gutter="0"/>
          <w:pgNumType w:start="1"/>
          <w:cols w:space="425" w:num="1"/>
          <w:formProt w:val="0"/>
          <w:docGrid w:type="lines" w:linePitch="312" w:charSpace="0"/>
        </w:sectPr>
      </w:pPr>
      <w:bookmarkStart w:id="147" w:name="_Toc90742393"/>
      <w:bookmarkStart w:id="148" w:name="_Toc90742324"/>
    </w:p>
    <w:bookmarkEnd w:id="117"/>
    <w:p w14:paraId="631E6DD6">
      <w:pPr>
        <w:pStyle w:val="3"/>
        <w:adjustRightInd w:val="0"/>
        <w:snapToGrid w:val="0"/>
        <w:spacing w:before="312" w:beforeLines="100" w:after="0" w:line="360" w:lineRule="auto"/>
        <w:rPr>
          <w:rFonts w:asciiTheme="minorEastAsia" w:hAnsiTheme="minorEastAsia" w:eastAsiaTheme="minorEastAsia"/>
          <w:sz w:val="21"/>
          <w:highlight w:val="none"/>
        </w:rPr>
      </w:pPr>
      <w:bookmarkStart w:id="149" w:name="_Toc16237232"/>
      <w:bookmarkStart w:id="150" w:name="CLAUSE_7cdc7120d12a4dc0843443524e67c235"/>
      <w:r>
        <w:rPr>
          <w:rFonts w:hint="eastAsia" w:cs="Arial" w:asciiTheme="minorEastAsia" w:hAnsiTheme="minorEastAsia" w:eastAsiaTheme="minorEastAsia"/>
          <w:sz w:val="21"/>
          <w:szCs w:val="21"/>
          <w:highlight w:val="none"/>
        </w:rPr>
        <w:t xml:space="preserve">第七部分 </w:t>
      </w:r>
      <w:bookmarkStart w:id="151" w:name="CTS_7cdc7120d12a4dc0843443524e67c235"/>
      <w:bookmarkEnd w:id="151"/>
      <w:r>
        <w:rPr>
          <w:rFonts w:hint="eastAsia" w:asciiTheme="minorEastAsia" w:hAnsiTheme="minorEastAsia" w:eastAsiaTheme="minorEastAsia"/>
          <w:sz w:val="21"/>
          <w:highlight w:val="none"/>
        </w:rPr>
        <w:t>基金合同当事人及权利义务</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Hlt55355235"/>
      <w:bookmarkEnd w:id="152"/>
      <w:bookmarkStart w:id="153" w:name="_Toc523711668"/>
      <w:bookmarkStart w:id="154" w:name="_Toc15118234"/>
      <w:bookmarkStart w:id="155" w:name="_Toc79392580"/>
      <w:bookmarkStart w:id="156" w:name="_Toc57530239"/>
    </w:p>
    <w:p w14:paraId="1D762DA1">
      <w:pPr>
        <w:spacing w:line="360" w:lineRule="auto"/>
        <w:ind w:firstLine="480" w:firstLineChars="200"/>
        <w:rPr>
          <w:rFonts w:asciiTheme="minorEastAsia" w:hAnsiTheme="minorEastAsia" w:eastAsiaTheme="minorEastAsia"/>
          <w:bCs/>
          <w:sz w:val="24"/>
          <w:highlight w:val="none"/>
        </w:rPr>
      </w:pPr>
    </w:p>
    <w:p w14:paraId="52F6B9B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w:t>
      </w:r>
      <w:bookmarkEnd w:id="153"/>
      <w:r>
        <w:rPr>
          <w:rFonts w:hint="eastAsia" w:asciiTheme="minorEastAsia" w:hAnsiTheme="minorEastAsia" w:eastAsiaTheme="minorEastAsia"/>
          <w:highlight w:val="none"/>
        </w:rPr>
        <w:t>管理人</w:t>
      </w:r>
      <w:bookmarkEnd w:id="154"/>
      <w:bookmarkEnd w:id="155"/>
      <w:bookmarkEnd w:id="156"/>
    </w:p>
    <w:p w14:paraId="474AC38E">
      <w:pPr>
        <w:adjustRightInd w:val="0"/>
        <w:snapToGrid w:val="0"/>
        <w:spacing w:line="360" w:lineRule="auto"/>
        <w:ind w:firstLine="420" w:firstLineChars="200"/>
        <w:rPr>
          <w:rFonts w:asciiTheme="minorEastAsia" w:hAnsiTheme="minorEastAsia" w:eastAsiaTheme="minorEastAsia"/>
          <w:highlight w:val="none"/>
        </w:rPr>
      </w:pPr>
      <w:bookmarkStart w:id="157" w:name="_Toc15118235"/>
      <w:r>
        <w:rPr>
          <w:rFonts w:hint="eastAsia" w:asciiTheme="minorEastAsia" w:hAnsiTheme="minorEastAsia" w:eastAsiaTheme="minorEastAsia"/>
          <w:highlight w:val="none"/>
        </w:rPr>
        <w:t>（一）</w:t>
      </w:r>
      <w:r>
        <w:rPr>
          <w:rFonts w:asciiTheme="minorEastAsia" w:hAnsiTheme="minorEastAsia" w:eastAsiaTheme="minorEastAsia"/>
          <w:highlight w:val="none"/>
        </w:rPr>
        <w:tab/>
      </w:r>
      <w:r>
        <w:rPr>
          <w:rFonts w:hint="eastAsia" w:asciiTheme="minorEastAsia" w:hAnsiTheme="minorEastAsia" w:eastAsiaTheme="minorEastAsia"/>
          <w:highlight w:val="none"/>
        </w:rPr>
        <w:t>基金管理人简况</w:t>
      </w:r>
      <w:bookmarkEnd w:id="157"/>
    </w:p>
    <w:p w14:paraId="5CD60379">
      <w:pPr>
        <w:adjustRightInd w:val="0"/>
        <w:snapToGrid w:val="0"/>
        <w:spacing w:line="360" w:lineRule="auto"/>
        <w:ind w:firstLine="420" w:firstLineChars="200"/>
        <w:rPr>
          <w:rFonts w:asciiTheme="minorEastAsia" w:hAnsiTheme="minorEastAsia" w:eastAsiaTheme="minorEastAsia"/>
          <w:highlight w:val="none"/>
        </w:rPr>
      </w:pPr>
      <w:bookmarkStart w:id="158" w:name="_Toc15118236"/>
      <w:bookmarkStart w:id="159" w:name="_Toc15118237"/>
      <w:r>
        <w:rPr>
          <w:rFonts w:hint="eastAsia" w:asciiTheme="minorEastAsia" w:hAnsiTheme="minorEastAsia" w:eastAsiaTheme="minorEastAsia"/>
          <w:highlight w:val="none"/>
        </w:rPr>
        <w:t>名称：博时基金管理有限公司</w:t>
      </w:r>
    </w:p>
    <w:p w14:paraId="52B0924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住所：深圳市福田区莲花街道福新社区益田路5999号基金大厦21层</w:t>
      </w:r>
    </w:p>
    <w:p w14:paraId="60D0D8D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法定代表人：江向阳</w:t>
      </w:r>
    </w:p>
    <w:p w14:paraId="4326E5E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设立日期：</w:t>
      </w:r>
      <w:r>
        <w:rPr>
          <w:rFonts w:asciiTheme="minorEastAsia" w:hAnsiTheme="minorEastAsia" w:eastAsiaTheme="minorEastAsia"/>
          <w:highlight w:val="none"/>
        </w:rPr>
        <w:t xml:space="preserve"> 1998年7月13日</w:t>
      </w:r>
    </w:p>
    <w:p w14:paraId="12B0783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批准设立机关及批准设立文号：中国证监会证监基字【</w:t>
      </w:r>
      <w:r>
        <w:rPr>
          <w:rFonts w:asciiTheme="minorEastAsia" w:hAnsiTheme="minorEastAsia" w:eastAsiaTheme="minorEastAsia"/>
          <w:highlight w:val="none"/>
        </w:rPr>
        <w:t>1998】26号</w:t>
      </w:r>
    </w:p>
    <w:p w14:paraId="239EEC7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组织形式：有限责任公司</w:t>
      </w:r>
    </w:p>
    <w:p w14:paraId="228EEC1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注册资本：</w:t>
      </w:r>
      <w:r>
        <w:rPr>
          <w:rFonts w:asciiTheme="minorEastAsia" w:hAnsiTheme="minorEastAsia" w:eastAsiaTheme="minorEastAsia"/>
          <w:highlight w:val="none"/>
        </w:rPr>
        <w:t xml:space="preserve"> 2.5亿元人民币</w:t>
      </w:r>
    </w:p>
    <w:p w14:paraId="6D8E0DF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存续期限：</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持续经营</w:t>
      </w:r>
    </w:p>
    <w:p w14:paraId="7EDD051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联系电话：</w:t>
      </w:r>
      <w:r>
        <w:rPr>
          <w:rFonts w:asciiTheme="minorEastAsia" w:hAnsiTheme="minorEastAsia" w:eastAsiaTheme="minorEastAsia"/>
          <w:highlight w:val="none"/>
        </w:rPr>
        <w:t>0755-83169999</w:t>
      </w:r>
    </w:p>
    <w:bookmarkEnd w:id="158"/>
    <w:p w14:paraId="2C656F9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w:t>
      </w:r>
      <w:r>
        <w:rPr>
          <w:rFonts w:asciiTheme="minorEastAsia" w:hAnsiTheme="minorEastAsia" w:eastAsiaTheme="minorEastAsia"/>
          <w:highlight w:val="none"/>
        </w:rPr>
        <w:tab/>
      </w:r>
      <w:r>
        <w:rPr>
          <w:rFonts w:hint="eastAsia" w:asciiTheme="minorEastAsia" w:hAnsiTheme="minorEastAsia" w:eastAsiaTheme="minorEastAsia"/>
          <w:highlight w:val="none"/>
        </w:rPr>
        <w:t>基金管理人的权利与义务</w:t>
      </w:r>
      <w:bookmarkEnd w:id="159"/>
    </w:p>
    <w:p w14:paraId="1DBE9943">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、根据《基金法》、《运作办法》及其他有关规定，基金管理人的权利包括但不限于：</w:t>
      </w:r>
    </w:p>
    <w:p w14:paraId="6B5F0E9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）依法募集资金；</w:t>
      </w:r>
    </w:p>
    <w:p w14:paraId="638A764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）自《基金合同》生效之日起，根据法律法规和《基金合同》独立运用并管理基金财产；</w:t>
      </w:r>
    </w:p>
    <w:p w14:paraId="68F2106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）依照《基金合同》收取基金管理费以及法律法规规定或中国证监会批准的其他费用；</w:t>
      </w:r>
    </w:p>
    <w:p w14:paraId="71F565D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）销售基金份额；</w:t>
      </w:r>
    </w:p>
    <w:p w14:paraId="1C78C00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w:t>
      </w:r>
      <w:bookmarkStart w:id="160" w:name="_Hlt88896155"/>
      <w:r>
        <w:rPr>
          <w:rFonts w:hint="eastAsia" w:asciiTheme="minorEastAsia" w:hAnsiTheme="minorEastAsia" w:eastAsiaTheme="minorEastAsia"/>
          <w:highlight w:val="none"/>
        </w:rPr>
        <w:t>按照规定召集</w:t>
      </w:r>
      <w:bookmarkEnd w:id="160"/>
      <w:r>
        <w:rPr>
          <w:rFonts w:hint="eastAsia" w:asciiTheme="minorEastAsia" w:hAnsiTheme="minorEastAsia" w:eastAsiaTheme="minorEastAsia"/>
          <w:highlight w:val="none"/>
        </w:rPr>
        <w:t>基金份额持有人大会；</w:t>
      </w:r>
    </w:p>
    <w:p w14:paraId="1106DF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）依据《基金合同》及有关法律规定监督基金托管人，如认为基金托管人违反了《基金合同》及国家有关法律规定，应呈报中国证监会和其他监管部门，并采取必要措施保护基金投资者的利益；</w:t>
      </w:r>
    </w:p>
    <w:p w14:paraId="277A92C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）在基金托管人更换时，提名新的基金托管人；</w:t>
      </w:r>
    </w:p>
    <w:p w14:paraId="277422F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）选择、更换基金销售机构，对基金销售机构的相关行为进行监督和处理；</w:t>
      </w:r>
      <w:r>
        <w:rPr>
          <w:rFonts w:asciiTheme="minorEastAsia" w:hAnsiTheme="minorEastAsia" w:eastAsiaTheme="minorEastAsia"/>
          <w:highlight w:val="none"/>
        </w:rPr>
        <w:t xml:space="preserve"> </w:t>
      </w:r>
    </w:p>
    <w:p w14:paraId="74BA48D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）担任或委托其他符合条件的机构担任基金登记机构办理基金登记业务并获得《基金合同》规定的费用；</w:t>
      </w:r>
      <w:r>
        <w:rPr>
          <w:rFonts w:asciiTheme="minorEastAsia" w:hAnsiTheme="minorEastAsia" w:eastAsiaTheme="minorEastAsia"/>
          <w:highlight w:val="none"/>
        </w:rPr>
        <w:t xml:space="preserve"> </w:t>
      </w:r>
    </w:p>
    <w:p w14:paraId="788D782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10</w:t>
      </w:r>
      <w:r>
        <w:rPr>
          <w:rFonts w:hint="eastAsia" w:asciiTheme="minorEastAsia" w:hAnsiTheme="minorEastAsia" w:eastAsiaTheme="minorEastAsia"/>
          <w:highlight w:val="none"/>
        </w:rPr>
        <w:t>）依据《基金合同》及有关法律规定决定基金收益的分配方案；</w:t>
      </w:r>
      <w:r>
        <w:rPr>
          <w:rFonts w:asciiTheme="minorEastAsia" w:hAnsiTheme="minorEastAsia" w:eastAsiaTheme="minorEastAsia"/>
          <w:highlight w:val="none"/>
        </w:rPr>
        <w:tab/>
      </w:r>
    </w:p>
    <w:p w14:paraId="59C62EC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11</w:t>
      </w:r>
      <w:r>
        <w:rPr>
          <w:rFonts w:hint="eastAsia" w:asciiTheme="minorEastAsia" w:hAnsiTheme="minorEastAsia" w:eastAsiaTheme="minorEastAsia"/>
          <w:highlight w:val="none"/>
        </w:rPr>
        <w:t>）在《基金合同》约定的范围内，拒绝或暂停受理申购、赎回或转换申请；</w:t>
      </w:r>
      <w:r>
        <w:rPr>
          <w:rFonts w:asciiTheme="minorEastAsia" w:hAnsiTheme="minorEastAsia" w:eastAsiaTheme="minorEastAsia"/>
          <w:highlight w:val="none"/>
        </w:rPr>
        <w:t xml:space="preserve"> </w:t>
      </w:r>
    </w:p>
    <w:p w14:paraId="3DC8AEF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12</w:t>
      </w:r>
      <w:r>
        <w:rPr>
          <w:rFonts w:hint="eastAsia" w:asciiTheme="minorEastAsia" w:hAnsiTheme="minorEastAsia" w:eastAsiaTheme="minorEastAsia"/>
          <w:highlight w:val="none"/>
        </w:rPr>
        <w:t>）依照法律法规为基金的利益对被投资公司行使股东权利，为基金的利益行使因基金财产投资于证券所产生的权利；</w:t>
      </w:r>
    </w:p>
    <w:p w14:paraId="46879A5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（13）在法律法规允许的前提下，为基金的利益依法为基金进行融资或参与转融通证券出借业务；</w:t>
      </w:r>
    </w:p>
    <w:p w14:paraId="66BE4F0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4</w:t>
      </w:r>
      <w:r>
        <w:rPr>
          <w:rFonts w:asciiTheme="minorEastAsia" w:hAnsiTheme="minorEastAsia" w:eastAsiaTheme="minorEastAsia"/>
          <w:highlight w:val="none"/>
        </w:rPr>
        <w:t>）以基金管理人的名义，代表基金份额持有人的利益行使诉讼权利或者实施其他法律行为；</w:t>
      </w:r>
      <w:r>
        <w:rPr>
          <w:rFonts w:asciiTheme="minorEastAsia" w:hAnsiTheme="minorEastAsia" w:eastAsiaTheme="minorEastAsia"/>
          <w:highlight w:val="none"/>
        </w:rPr>
        <w:tab/>
      </w:r>
    </w:p>
    <w:p w14:paraId="1DA572B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5</w:t>
      </w:r>
      <w:r>
        <w:rPr>
          <w:rFonts w:asciiTheme="minorEastAsia" w:hAnsiTheme="minorEastAsia" w:eastAsiaTheme="minorEastAsia"/>
          <w:highlight w:val="none"/>
        </w:rPr>
        <w:t>）选择、更换律师事务所、会计师事务所、证券、期货经纪商或其他为基金提供服务的外部机构；</w:t>
      </w:r>
      <w:r>
        <w:rPr>
          <w:rFonts w:asciiTheme="minorEastAsia" w:hAnsiTheme="minorEastAsia" w:eastAsiaTheme="minorEastAsia"/>
          <w:highlight w:val="none"/>
        </w:rPr>
        <w:tab/>
      </w:r>
    </w:p>
    <w:p w14:paraId="07C2294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6</w:t>
      </w:r>
      <w:r>
        <w:rPr>
          <w:rFonts w:asciiTheme="minorEastAsia" w:hAnsiTheme="minorEastAsia" w:eastAsiaTheme="minorEastAsia"/>
          <w:highlight w:val="none"/>
        </w:rPr>
        <w:t>）在符合有关法律、法规的前提下，制订和调整有关基金</w:t>
      </w:r>
      <w:r>
        <w:rPr>
          <w:rFonts w:hint="eastAsia" w:asciiTheme="minorEastAsia" w:hAnsiTheme="minorEastAsia" w:eastAsiaTheme="minorEastAsia"/>
          <w:highlight w:val="none"/>
        </w:rPr>
        <w:t>认购、申购、赎回、转换、定期定额投资和非交易过户等业务规则；</w:t>
      </w:r>
    </w:p>
    <w:p w14:paraId="27CC0E0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（17）代表基金份额持有人的利益行使因基金财产投资于目标ETF所产生的权利，基金合同另有约定的除外；</w:t>
      </w:r>
    </w:p>
    <w:p w14:paraId="6C1A423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18）法律法规及中国证监会规定的和《基金合同》约定的其他权利。</w:t>
      </w:r>
    </w:p>
    <w:p w14:paraId="247D90F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、根据《基金法》、《运作办法》及其他有关规定，基金管理人的义务包括但不限于：</w:t>
      </w:r>
    </w:p>
    <w:p w14:paraId="18A02AD4">
      <w:pPr>
        <w:adjustRightInd w:val="0"/>
        <w:snapToGrid w:val="0"/>
        <w:spacing w:line="360" w:lineRule="auto"/>
        <w:ind w:firstLine="420" w:firstLineChars="200"/>
        <w:rPr>
          <w:rFonts w:asciiTheme="minorEastAsia" w:hAnsiTheme="minorEastAsia" w:eastAsiaTheme="minorEastAsia"/>
          <w:highlight w:val="none"/>
        </w:rPr>
      </w:pPr>
      <w:bookmarkStart w:id="161" w:name="_Toc523711669"/>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）依法募集资金，办理或者委托经中国证监会认定的其他机构代为办理基金份额的发售、申购、赎回和登记事宜；</w:t>
      </w:r>
    </w:p>
    <w:p w14:paraId="48C2270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）办理基金备案手续；</w:t>
      </w:r>
    </w:p>
    <w:p w14:paraId="7572A35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）自《基金合同》生效之日起，以诚实信用、谨慎勤勉的原则管理和运用基金财产；</w:t>
      </w:r>
    </w:p>
    <w:p w14:paraId="0D1E54C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）配备足够的具有专业资格的人员进行基金投资分析、决策，以专业化的经营方式管理和运作基金财产；</w:t>
      </w:r>
    </w:p>
    <w:p w14:paraId="780369E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）建立健全内部风险控制、监察与稽核、财务管理及人事管理等制度，保证所管理的基金财产和基金管理人的财产相互独立，对所管理的不同基金分别管理，分别记账，进行证券投资；</w:t>
      </w:r>
    </w:p>
    <w:p w14:paraId="2B1F874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）除依据《基金法》、《基金合同》及其他有关规定外，不得利用基金财产为自己及任何第三人谋取利益，不得委托第三人运作基金财产；</w:t>
      </w:r>
      <w:bookmarkStart w:id="162" w:name="_Hlt88897298"/>
      <w:bookmarkEnd w:id="162"/>
    </w:p>
    <w:p w14:paraId="35A9D01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）依法接受基金托管人的监督；</w:t>
      </w:r>
    </w:p>
    <w:p w14:paraId="3E0E7C0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）采取适当合理的措施使计算基金份额认购、申购、赎回和注销价格的方法符合《基金合同》等法律文件的规定，按有关规定计算并公告基金净值信息，确定基金份额申购、赎回的价格；</w:t>
      </w:r>
    </w:p>
    <w:p w14:paraId="673874D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）进行基金会计核算并编制基金财务会计报告；</w:t>
      </w:r>
    </w:p>
    <w:p w14:paraId="2EB3EF4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10</w:t>
      </w:r>
      <w:r>
        <w:rPr>
          <w:rFonts w:hint="eastAsia" w:asciiTheme="minorEastAsia" w:hAnsiTheme="minorEastAsia" w:eastAsiaTheme="minorEastAsia"/>
          <w:highlight w:val="none"/>
        </w:rPr>
        <w:t>）编制季度报告、中期报告和年度报告；</w:t>
      </w:r>
    </w:p>
    <w:p w14:paraId="35969E7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11</w:t>
      </w:r>
      <w:r>
        <w:rPr>
          <w:rFonts w:hint="eastAsia" w:asciiTheme="minorEastAsia" w:hAnsiTheme="minorEastAsia" w:eastAsiaTheme="minorEastAsia"/>
          <w:highlight w:val="none"/>
        </w:rPr>
        <w:t>）严格按照《基金法》、《基金合同》及其他有关规定，履行信息披露及报告义务；</w:t>
      </w:r>
    </w:p>
    <w:p w14:paraId="344970C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12</w:t>
      </w:r>
      <w:r>
        <w:rPr>
          <w:rFonts w:hint="eastAsia" w:asciiTheme="minorEastAsia" w:hAnsiTheme="minorEastAsia" w:eastAsiaTheme="minorEastAsia"/>
          <w:highlight w:val="none"/>
        </w:rPr>
        <w:t>）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14:paraId="138014B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13</w:t>
      </w:r>
      <w:r>
        <w:rPr>
          <w:rFonts w:hint="eastAsia" w:asciiTheme="minorEastAsia" w:hAnsiTheme="minorEastAsia" w:eastAsiaTheme="minorEastAsia"/>
          <w:highlight w:val="none"/>
        </w:rPr>
        <w:t>）按《基金合同》的约定确定基金收益分配方案，及时向基金份额持有人分配基金收益；</w:t>
      </w:r>
    </w:p>
    <w:p w14:paraId="12E6378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14</w:t>
      </w:r>
      <w:r>
        <w:rPr>
          <w:rFonts w:hint="eastAsia" w:asciiTheme="minorEastAsia" w:hAnsiTheme="minorEastAsia" w:eastAsiaTheme="minorEastAsia"/>
          <w:highlight w:val="none"/>
        </w:rPr>
        <w:t>）按规定受理申购与赎回申请，及时、足额支付赎回款项；</w:t>
      </w:r>
    </w:p>
    <w:p w14:paraId="1AE6DBE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15</w:t>
      </w:r>
      <w:r>
        <w:rPr>
          <w:rFonts w:hint="eastAsia" w:asciiTheme="minorEastAsia" w:hAnsiTheme="minorEastAsia" w:eastAsiaTheme="minorEastAsia"/>
          <w:highlight w:val="none"/>
        </w:rPr>
        <w:t>）依据《基金法》、《基金合同》及其他有关规定召集基金份额持有人大会或配合基金托管人、基金份额持有人依法召集基金份额持有人大会；</w:t>
      </w:r>
    </w:p>
    <w:p w14:paraId="64D170B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16</w:t>
      </w:r>
      <w:r>
        <w:rPr>
          <w:rFonts w:hint="eastAsia" w:asciiTheme="minorEastAsia" w:hAnsiTheme="minorEastAsia" w:eastAsiaTheme="minorEastAsia"/>
          <w:highlight w:val="none"/>
        </w:rPr>
        <w:t>）按规定保存基金财产管理业务活动的会计账册、报表、记录和其他相关资料，保存期限不低于法律法规规定的最低期限</w:t>
      </w:r>
      <w:r>
        <w:rPr>
          <w:rFonts w:asciiTheme="minorEastAsia" w:hAnsiTheme="minorEastAsia" w:eastAsiaTheme="minorEastAsia"/>
          <w:highlight w:val="none"/>
        </w:rPr>
        <w:t>；</w:t>
      </w:r>
    </w:p>
    <w:p w14:paraId="74AB207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17</w:t>
      </w:r>
      <w:r>
        <w:rPr>
          <w:rFonts w:hint="eastAsia" w:asciiTheme="minorEastAsia" w:hAnsiTheme="minorEastAsia" w:eastAsiaTheme="minorEastAsia"/>
          <w:highlight w:val="none"/>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E77BC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18</w:t>
      </w:r>
      <w:r>
        <w:rPr>
          <w:rFonts w:hint="eastAsia" w:asciiTheme="minorEastAsia" w:hAnsiTheme="minorEastAsia" w:eastAsiaTheme="minorEastAsia"/>
          <w:highlight w:val="none"/>
        </w:rPr>
        <w:t>）组织并参加基金财产清算小组，参与基金财产的保管、清理、估价、变现和分配；</w:t>
      </w:r>
    </w:p>
    <w:p w14:paraId="264C56F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19</w:t>
      </w:r>
      <w:r>
        <w:rPr>
          <w:rFonts w:hint="eastAsia" w:asciiTheme="minorEastAsia" w:hAnsiTheme="minorEastAsia" w:eastAsiaTheme="minorEastAsia"/>
          <w:highlight w:val="none"/>
        </w:rPr>
        <w:t>）面临解散、依法被撤销或者被依法宣告破产时，及时报告中国证监会并通知基金托管人；</w:t>
      </w:r>
    </w:p>
    <w:p w14:paraId="5E5E1D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20</w:t>
      </w:r>
      <w:r>
        <w:rPr>
          <w:rFonts w:hint="eastAsia" w:asciiTheme="minorEastAsia" w:hAnsiTheme="minorEastAsia" w:eastAsiaTheme="minorEastAsia"/>
          <w:highlight w:val="none"/>
        </w:rPr>
        <w:t>）因违反《基金合同》导致基金财产的损失或损害基金份额持有人合法权益时，应当承担赔偿责任，其赔偿责任不因其退任而免除；</w:t>
      </w:r>
    </w:p>
    <w:p w14:paraId="6F90A20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21</w:t>
      </w:r>
      <w:r>
        <w:rPr>
          <w:rFonts w:hint="eastAsia" w:asciiTheme="minorEastAsia" w:hAnsiTheme="minorEastAsia" w:eastAsiaTheme="minorEastAsia"/>
          <w:highlight w:val="none"/>
        </w:rPr>
        <w:t>）监督基金托管人按法律法规和《基金合同》规定履行自己的义务，基金托管人违反《基金合同》造成基金财产损失时，基金管理人应为基金份额持有人利益向基金托管人追偿；</w:t>
      </w:r>
    </w:p>
    <w:p w14:paraId="002479E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22</w:t>
      </w:r>
      <w:r>
        <w:rPr>
          <w:rFonts w:hint="eastAsia" w:asciiTheme="minorEastAsia" w:hAnsiTheme="minorEastAsia" w:eastAsiaTheme="minorEastAsia"/>
          <w:highlight w:val="none"/>
        </w:rPr>
        <w:t>）当基金管理人将其义务委托第三方处理时，应当对第三方处理有关基金事务的行为承担责任；</w:t>
      </w:r>
    </w:p>
    <w:p w14:paraId="332C555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23</w:t>
      </w:r>
      <w:r>
        <w:rPr>
          <w:rFonts w:hint="eastAsia" w:asciiTheme="minorEastAsia" w:hAnsiTheme="minorEastAsia" w:eastAsiaTheme="minorEastAsia"/>
          <w:highlight w:val="none"/>
        </w:rPr>
        <w:t>）以基金管理人名义，代表基金份额持有人利益行使诉讼权利或实施其他法律行为；</w:t>
      </w:r>
    </w:p>
    <w:p w14:paraId="0A7A4AC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24）基金在募集期</w:t>
      </w:r>
      <w:r>
        <w:rPr>
          <w:rFonts w:hint="eastAsia" w:asciiTheme="minorEastAsia" w:hAnsiTheme="minorEastAsia" w:eastAsiaTheme="minorEastAsia"/>
          <w:highlight w:val="none"/>
        </w:rPr>
        <w:t>满</w:t>
      </w:r>
      <w:r>
        <w:rPr>
          <w:rFonts w:asciiTheme="minorEastAsia" w:hAnsiTheme="minorEastAsia" w:eastAsiaTheme="minorEastAsia"/>
          <w:highlight w:val="none"/>
        </w:rPr>
        <w:t>未能达到基金</w:t>
      </w:r>
      <w:bookmarkStart w:id="163" w:name="_Hlt88823209"/>
      <w:bookmarkEnd w:id="163"/>
      <w:r>
        <w:rPr>
          <w:rFonts w:hint="eastAsia" w:asciiTheme="minorEastAsia" w:hAnsiTheme="minorEastAsia" w:eastAsiaTheme="minorEastAsia"/>
          <w:highlight w:val="none"/>
        </w:rPr>
        <w:t>的备案条件，《基金合同》不能生效，基金管理人承担全部募集费用，将已募集资金并加计银行同期活期存款利息在基金募集期结束后</w:t>
      </w:r>
      <w:r>
        <w:rPr>
          <w:rFonts w:asciiTheme="minorEastAsia" w:hAnsiTheme="minorEastAsia" w:eastAsiaTheme="minorEastAsia"/>
          <w:highlight w:val="none"/>
        </w:rPr>
        <w:t>30日内退还基金认购人；</w:t>
      </w:r>
    </w:p>
    <w:p w14:paraId="7F9FF31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25</w:t>
      </w:r>
      <w:r>
        <w:rPr>
          <w:rFonts w:hint="eastAsia" w:asciiTheme="minorEastAsia" w:hAnsiTheme="minorEastAsia" w:eastAsiaTheme="minorEastAsia"/>
          <w:highlight w:val="none"/>
        </w:rPr>
        <w:t>）执行生效的基金份额持有人大会的决议；</w:t>
      </w:r>
    </w:p>
    <w:p w14:paraId="5B552B3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26</w:t>
      </w:r>
      <w:r>
        <w:rPr>
          <w:rFonts w:hint="eastAsia" w:asciiTheme="minorEastAsia" w:hAnsiTheme="minorEastAsia" w:eastAsiaTheme="minorEastAsia"/>
          <w:highlight w:val="none"/>
        </w:rPr>
        <w:t>）建立并保存基金份额持有人名册；</w:t>
      </w:r>
    </w:p>
    <w:p w14:paraId="14FC5C2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27</w:t>
      </w:r>
      <w:r>
        <w:rPr>
          <w:rFonts w:hint="eastAsia" w:asciiTheme="minorEastAsia" w:hAnsiTheme="minorEastAsia" w:eastAsiaTheme="minorEastAsia"/>
          <w:highlight w:val="none"/>
        </w:rPr>
        <w:t>）法律法规及中国证监会规定的和《基金合同》约定的其他义务。</w:t>
      </w:r>
    </w:p>
    <w:p w14:paraId="57863603">
      <w:pPr>
        <w:adjustRightInd w:val="0"/>
        <w:snapToGrid w:val="0"/>
        <w:spacing w:line="360" w:lineRule="auto"/>
        <w:ind w:firstLine="420" w:firstLineChars="200"/>
        <w:rPr>
          <w:rFonts w:asciiTheme="minorEastAsia" w:hAnsiTheme="minorEastAsia" w:eastAsiaTheme="minorEastAsia"/>
          <w:highlight w:val="none"/>
        </w:rPr>
      </w:pPr>
      <w:bookmarkStart w:id="164" w:name="_Toc57530240"/>
      <w:bookmarkStart w:id="165" w:name="_Toc15118238"/>
      <w:bookmarkStart w:id="166" w:name="_Toc79392581"/>
      <w:r>
        <w:rPr>
          <w:rFonts w:hint="eastAsia" w:asciiTheme="minorEastAsia" w:hAnsiTheme="minorEastAsia" w:eastAsiaTheme="minorEastAsia"/>
          <w:highlight w:val="none"/>
        </w:rPr>
        <w:t>二、基金托管人</w:t>
      </w:r>
      <w:bookmarkEnd w:id="161"/>
      <w:bookmarkEnd w:id="164"/>
      <w:bookmarkEnd w:id="165"/>
      <w:bookmarkEnd w:id="166"/>
    </w:p>
    <w:p w14:paraId="5EF8CB1A">
      <w:pPr>
        <w:adjustRightInd w:val="0"/>
        <w:snapToGrid w:val="0"/>
        <w:spacing w:line="360" w:lineRule="auto"/>
        <w:ind w:firstLine="420" w:firstLineChars="200"/>
        <w:rPr>
          <w:rFonts w:asciiTheme="minorEastAsia" w:hAnsiTheme="minorEastAsia" w:eastAsiaTheme="minorEastAsia"/>
          <w:highlight w:val="none"/>
        </w:rPr>
      </w:pPr>
      <w:bookmarkStart w:id="167" w:name="_Toc15118239"/>
      <w:r>
        <w:rPr>
          <w:rFonts w:hint="eastAsia" w:asciiTheme="minorEastAsia" w:hAnsiTheme="minorEastAsia" w:eastAsiaTheme="minorEastAsia"/>
          <w:highlight w:val="none"/>
        </w:rPr>
        <w:t>（一）</w:t>
      </w:r>
      <w:r>
        <w:rPr>
          <w:rFonts w:asciiTheme="minorEastAsia" w:hAnsiTheme="minorEastAsia" w:eastAsiaTheme="minorEastAsia"/>
          <w:highlight w:val="none"/>
        </w:rPr>
        <w:tab/>
      </w:r>
      <w:r>
        <w:rPr>
          <w:rFonts w:hint="eastAsia" w:asciiTheme="minorEastAsia" w:hAnsiTheme="minorEastAsia" w:eastAsiaTheme="minorEastAsia"/>
          <w:highlight w:val="none"/>
        </w:rPr>
        <w:t>基金托管人简况</w:t>
      </w:r>
      <w:bookmarkEnd w:id="167"/>
    </w:p>
    <w:p w14:paraId="1E158FF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名称：中国建设银行股份有限公司</w:t>
      </w:r>
    </w:p>
    <w:p w14:paraId="6AA7A72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住所：北京市西城区金融大街25号</w:t>
      </w:r>
    </w:p>
    <w:p w14:paraId="15EB043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办公地址：北京市西城区闹市口大街1号院1号楼</w:t>
      </w:r>
    </w:p>
    <w:p w14:paraId="4CDEDCA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邮政编码：100033</w:t>
      </w:r>
    </w:p>
    <w:p w14:paraId="7542991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法定代表人： 张金良</w:t>
      </w:r>
    </w:p>
    <w:p w14:paraId="5340456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成立日期：2004年09月17日</w:t>
      </w:r>
    </w:p>
    <w:p w14:paraId="07ED361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基金托管业务批准文号：中国证监会证监基字[1998]12号</w:t>
      </w:r>
    </w:p>
    <w:p w14:paraId="698D47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组织形式：股份有限公司</w:t>
      </w:r>
    </w:p>
    <w:p w14:paraId="6E32B50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注册资本：贰仟伍佰亿壹仟零玖拾柒万柒仟肆佰捌拾陆元整</w:t>
      </w:r>
    </w:p>
    <w:p w14:paraId="3074183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存续期间：持续经营</w:t>
      </w:r>
    </w:p>
    <w:p w14:paraId="240731A2">
      <w:pPr>
        <w:adjustRightInd w:val="0"/>
        <w:snapToGrid w:val="0"/>
        <w:spacing w:line="360" w:lineRule="auto"/>
        <w:ind w:firstLine="420" w:firstLineChars="200"/>
        <w:rPr>
          <w:rFonts w:asciiTheme="minorEastAsia" w:hAnsiTheme="minorEastAsia" w:eastAsiaTheme="minorEastAsia"/>
          <w:highlight w:val="none"/>
        </w:rPr>
      </w:pPr>
      <w:bookmarkStart w:id="168" w:name="_Toc15118240"/>
      <w:r>
        <w:rPr>
          <w:rFonts w:hint="eastAsia" w:asciiTheme="minorEastAsia" w:hAnsiTheme="minorEastAsia" w:eastAsiaTheme="minorEastAsia"/>
          <w:highlight w:val="none"/>
        </w:rPr>
        <w:t>（二）</w:t>
      </w:r>
      <w:r>
        <w:rPr>
          <w:rFonts w:asciiTheme="minorEastAsia" w:hAnsiTheme="minorEastAsia" w:eastAsiaTheme="minorEastAsia"/>
          <w:highlight w:val="none"/>
        </w:rPr>
        <w:tab/>
      </w:r>
      <w:r>
        <w:rPr>
          <w:rFonts w:hint="eastAsia" w:asciiTheme="minorEastAsia" w:hAnsiTheme="minorEastAsia" w:eastAsiaTheme="minorEastAsia"/>
          <w:highlight w:val="none"/>
        </w:rPr>
        <w:t>基金托管人的权利与义务</w:t>
      </w:r>
      <w:bookmarkEnd w:id="168"/>
    </w:p>
    <w:p w14:paraId="79F080A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、根据《基金法》、《运作办法》及其他有关规定，基金托管人的权利包括但不限于：</w:t>
      </w:r>
    </w:p>
    <w:p w14:paraId="05E64FA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）自《基金合同》生效之日起，依法律法规和《基金合同》</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托管协议</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的规定安全保管基金财产；</w:t>
      </w:r>
    </w:p>
    <w:p w14:paraId="0069C62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）依《基金合同》约定获得基金托管费以及法律法规规定或监管部门批准的其他费用；</w:t>
      </w:r>
    </w:p>
    <w:p w14:paraId="1187AC3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）监督基金管理人对本基金的投资运作，如发现基金管理人有违反《基金合同》</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托管协议</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及国家法律法规行为，对基金财产、其他当事人的利益造成重大损失的情形，应呈报中国证监会，并采取必要措施保护基金投资者的利益；</w:t>
      </w:r>
    </w:p>
    <w:p w14:paraId="07DE5A4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）根据相关市场规则，为基金开设资金账户、证券账户等投资所需账户，为基金办理证券/期货交易资金清算；</w:t>
      </w:r>
    </w:p>
    <w:p w14:paraId="7815769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）提议召开或召集基金份额持有人大会；</w:t>
      </w:r>
    </w:p>
    <w:p w14:paraId="655B9CF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）在基金管理人更换时，提名新的基金管理人；</w:t>
      </w:r>
    </w:p>
    <w:p w14:paraId="29843AF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）法律法规及中国证监会规定的和《基金合同》约定的其他权利。</w:t>
      </w:r>
    </w:p>
    <w:p w14:paraId="5878DA1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、根据《基金法》、《运作办法》及其他有关规定，基金托管人的义务包括但不限于：</w:t>
      </w:r>
    </w:p>
    <w:p w14:paraId="520C08F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）以诚实信用、勤勉尽责的原则持有并安全保管基金财产；</w:t>
      </w:r>
    </w:p>
    <w:p w14:paraId="7828092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）设立专门的基金托管部门，具有符合要求的营业场所，配备足够的、合格的熟悉基金托管业务的专职人员，负责基金财产托管事宜；</w:t>
      </w:r>
    </w:p>
    <w:p w14:paraId="6C58485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D7C56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）除依据《基金法》、《基金合同》及其他有关规定外，不得利用基金财产为自己及任何第三人谋取利益，不得委托第三人托管基金财产；</w:t>
      </w:r>
    </w:p>
    <w:p w14:paraId="1F912C5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）保管由基金管理人代表基金签订的与基金有关的重大合同及有关凭证；</w:t>
      </w:r>
    </w:p>
    <w:p w14:paraId="0CB66F0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）按规定开设基金财产的资金账户和证券账户等投资所需账户，按照《基金合同》的约定，根据基金管理人的投资指令，及时办理清算、交割事宜；</w:t>
      </w:r>
    </w:p>
    <w:p w14:paraId="646D06B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保守基金商业秘密，除《基金法》、《基金合同》、《托管协议》及其他有关规定另有规定外，在基金信息公开披露前予以保密，不得向他人泄露，但因监管机构、司法机关等有权机关要求，或因审计、法律等外部专业顾问提供服务需要提供的情况除外；</w:t>
      </w:r>
    </w:p>
    <w:p w14:paraId="4EC61B0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）复核、审查基金管理人计算的基金资产净值、各类基金份额净值、基金份额申购、赎回价格；</w:t>
      </w:r>
    </w:p>
    <w:p w14:paraId="58D873A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）办理与基金托管业务活动有关的信息披露事项；</w:t>
      </w:r>
    </w:p>
    <w:p w14:paraId="4D12014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10</w:t>
      </w:r>
      <w:r>
        <w:rPr>
          <w:rFonts w:hint="eastAsia" w:asciiTheme="minorEastAsia" w:hAnsiTheme="minorEastAsia" w:eastAsiaTheme="minorEastAsia"/>
          <w:highlight w:val="none"/>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3F8597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11</w:t>
      </w:r>
      <w:r>
        <w:rPr>
          <w:rFonts w:hint="eastAsia" w:asciiTheme="minorEastAsia" w:hAnsiTheme="minorEastAsia" w:eastAsiaTheme="minorEastAsia"/>
          <w:highlight w:val="none"/>
        </w:rPr>
        <w:t>）保存基金托管业务活动的记录、账册、报表和其他相关资料，保存期限不低于</w:t>
      </w:r>
      <w:r>
        <w:rPr>
          <w:rFonts w:asciiTheme="minorEastAsia" w:hAnsiTheme="minorEastAsia" w:eastAsiaTheme="minorEastAsia"/>
          <w:highlight w:val="none"/>
        </w:rPr>
        <w:t>法律法规规定的最低期限；</w:t>
      </w:r>
    </w:p>
    <w:p w14:paraId="4560E21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12</w:t>
      </w:r>
      <w:r>
        <w:rPr>
          <w:rFonts w:hint="eastAsia" w:asciiTheme="minorEastAsia" w:hAnsiTheme="minorEastAsia" w:eastAsiaTheme="minorEastAsia"/>
          <w:highlight w:val="none"/>
        </w:rPr>
        <w:t>）从基金管理人或其委托的登记机构处接收并保存基金份额持有人名册；</w:t>
      </w:r>
    </w:p>
    <w:p w14:paraId="541052F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13</w:t>
      </w:r>
      <w:r>
        <w:rPr>
          <w:rFonts w:hint="eastAsia" w:asciiTheme="minorEastAsia" w:hAnsiTheme="minorEastAsia" w:eastAsiaTheme="minorEastAsia"/>
          <w:highlight w:val="none"/>
        </w:rPr>
        <w:t>）按规定制作相关账册并与基金管理人核对；</w:t>
      </w:r>
    </w:p>
    <w:p w14:paraId="7F9E41C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14</w:t>
      </w:r>
      <w:r>
        <w:rPr>
          <w:rFonts w:hint="eastAsia" w:asciiTheme="minorEastAsia" w:hAnsiTheme="minorEastAsia" w:eastAsiaTheme="minorEastAsia"/>
          <w:highlight w:val="none"/>
        </w:rPr>
        <w:t>）依据基金管理人的指令或有关规定向基金份额持有人支付基金收益和赎回款项；</w:t>
      </w:r>
    </w:p>
    <w:p w14:paraId="420245C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15</w:t>
      </w:r>
      <w:r>
        <w:rPr>
          <w:rFonts w:hint="eastAsia" w:asciiTheme="minorEastAsia" w:hAnsiTheme="minorEastAsia" w:eastAsiaTheme="minorEastAsia"/>
          <w:highlight w:val="none"/>
        </w:rPr>
        <w:t>）依据《基金法》、《基金合同》及其他有关规定，召集基金份额持有人大会或配合基金管理人、基金份额持有人依法召集基金份额持有人大会；</w:t>
      </w:r>
    </w:p>
    <w:p w14:paraId="6F2042E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16</w:t>
      </w:r>
      <w:r>
        <w:rPr>
          <w:rFonts w:hint="eastAsia" w:asciiTheme="minorEastAsia" w:hAnsiTheme="minorEastAsia" w:eastAsiaTheme="minorEastAsia"/>
          <w:highlight w:val="none"/>
        </w:rPr>
        <w:t>）按照法律法规和《基金合同》</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托管协议</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的规定监督基金管理人的投资运作；</w:t>
      </w:r>
    </w:p>
    <w:p w14:paraId="7890E55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17</w:t>
      </w:r>
      <w:r>
        <w:rPr>
          <w:rFonts w:hint="eastAsia" w:asciiTheme="minorEastAsia" w:hAnsiTheme="minorEastAsia" w:eastAsiaTheme="minorEastAsia"/>
          <w:highlight w:val="none"/>
        </w:rPr>
        <w:t>）参加基金财产清算小组，参与基金财产的保管、清理、估价、变现和分配；</w:t>
      </w:r>
    </w:p>
    <w:p w14:paraId="4DA1742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18</w:t>
      </w:r>
      <w:r>
        <w:rPr>
          <w:rFonts w:hint="eastAsia" w:asciiTheme="minorEastAsia" w:hAnsiTheme="minorEastAsia" w:eastAsiaTheme="minorEastAsia"/>
          <w:highlight w:val="none"/>
        </w:rPr>
        <w:t>）面临解散、依法被撤销或者被依法宣告破产时，及时报告中国证监会和</w:t>
      </w:r>
      <w:r>
        <w:rPr>
          <w:rFonts w:hint="eastAsia" w:cs="Arial" w:asciiTheme="minorEastAsia" w:hAnsiTheme="minorEastAsia" w:eastAsiaTheme="minorEastAsia"/>
          <w:szCs w:val="21"/>
          <w:highlight w:val="none"/>
        </w:rPr>
        <w:t>银行业监督管理机构</w:t>
      </w:r>
      <w:r>
        <w:rPr>
          <w:rFonts w:hint="eastAsia" w:asciiTheme="minorEastAsia" w:hAnsiTheme="minorEastAsia" w:eastAsiaTheme="minorEastAsia"/>
          <w:highlight w:val="none"/>
        </w:rPr>
        <w:t>，并通知基金管理人；</w:t>
      </w:r>
    </w:p>
    <w:p w14:paraId="0B4EF51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19</w:t>
      </w:r>
      <w:r>
        <w:rPr>
          <w:rFonts w:hint="eastAsia" w:asciiTheme="minorEastAsia" w:hAnsiTheme="minorEastAsia" w:eastAsiaTheme="minorEastAsia"/>
          <w:highlight w:val="none"/>
        </w:rPr>
        <w:t>）因违反《基金合同》导致基金财产损失时，应承担赔偿责任，其赔偿责任不因其退任而免除；</w:t>
      </w:r>
    </w:p>
    <w:p w14:paraId="4B88FF9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20</w:t>
      </w:r>
      <w:r>
        <w:rPr>
          <w:rFonts w:hint="eastAsia" w:asciiTheme="minorEastAsia" w:hAnsiTheme="minorEastAsia" w:eastAsiaTheme="minorEastAsia"/>
          <w:highlight w:val="none"/>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rFonts w:hint="eastAsia" w:asciiTheme="minorEastAsia" w:hAnsiTheme="minorEastAsia" w:eastAsiaTheme="minorEastAsia"/>
          <w:highlight w:val="none"/>
        </w:rPr>
        <w:t>；</w:t>
      </w:r>
    </w:p>
    <w:p w14:paraId="537337E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21</w:t>
      </w:r>
      <w:r>
        <w:rPr>
          <w:rFonts w:hint="eastAsia" w:asciiTheme="minorEastAsia" w:hAnsiTheme="minorEastAsia" w:eastAsiaTheme="minorEastAsia"/>
          <w:highlight w:val="none"/>
        </w:rPr>
        <w:t>）执行生效的基金份额持有人大会的决议；</w:t>
      </w:r>
    </w:p>
    <w:p w14:paraId="3F5766B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22</w:t>
      </w:r>
      <w:r>
        <w:rPr>
          <w:rFonts w:hint="eastAsia" w:asciiTheme="minorEastAsia" w:hAnsiTheme="minorEastAsia" w:eastAsiaTheme="minorEastAsia"/>
          <w:highlight w:val="none"/>
        </w:rPr>
        <w:t>）</w:t>
      </w:r>
      <w:bookmarkStart w:id="170" w:name="_Toc523711670"/>
      <w:r>
        <w:rPr>
          <w:rFonts w:hint="eastAsia" w:asciiTheme="minorEastAsia" w:hAnsiTheme="minorEastAsia" w:eastAsiaTheme="minorEastAsia"/>
          <w:highlight w:val="none"/>
        </w:rPr>
        <w:t>法律法规及中国证监会规定的和《基金合同》约定的其他义务。</w:t>
      </w:r>
    </w:p>
    <w:bookmarkEnd w:id="170"/>
    <w:p w14:paraId="0EB7AA99">
      <w:pPr>
        <w:adjustRightInd w:val="0"/>
        <w:snapToGrid w:val="0"/>
        <w:spacing w:line="360" w:lineRule="auto"/>
        <w:ind w:firstLine="420" w:firstLineChars="200"/>
        <w:rPr>
          <w:rFonts w:asciiTheme="minorEastAsia" w:hAnsiTheme="minorEastAsia" w:eastAsiaTheme="minorEastAsia"/>
          <w:highlight w:val="none"/>
        </w:rPr>
      </w:pPr>
      <w:bookmarkStart w:id="171" w:name="_Toc79392582"/>
      <w:r>
        <w:rPr>
          <w:rFonts w:hint="eastAsia" w:asciiTheme="minorEastAsia" w:hAnsiTheme="minorEastAsia" w:eastAsiaTheme="minorEastAsia"/>
          <w:highlight w:val="none"/>
        </w:rPr>
        <w:t>三、基金份额持有人</w:t>
      </w:r>
      <w:bookmarkEnd w:id="171"/>
    </w:p>
    <w:p w14:paraId="1CBC5EE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基金投资者持有本基金</w:t>
      </w:r>
      <w:bookmarkStart w:id="172" w:name="_Hlt88899909"/>
      <w:bookmarkEnd w:id="172"/>
      <w:r>
        <w:rPr>
          <w:rFonts w:hint="eastAsia" w:asciiTheme="minorEastAsia" w:hAnsiTheme="minorEastAsia" w:eastAsiaTheme="minorEastAsia"/>
          <w:highlight w:val="none"/>
        </w:rPr>
        <w:t>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7AEDC73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除法律法规另有规定或本基金合同另有约定外，同一类别每份基金份额具有同等的合法权益。</w:t>
      </w:r>
    </w:p>
    <w:p w14:paraId="6D13303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、根据《基金法》、《运作办法》及其他有关规定，基金份额持有人的权利包括但不限于：</w:t>
      </w:r>
    </w:p>
    <w:p w14:paraId="568158E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）分享基金财产收益；</w:t>
      </w:r>
    </w:p>
    <w:p w14:paraId="3B7BAAA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）参与分配清算后的剩余基金财产；</w:t>
      </w:r>
      <w:bookmarkStart w:id="173" w:name="_Hlt88825574"/>
      <w:bookmarkEnd w:id="173"/>
    </w:p>
    <w:p w14:paraId="732C8DC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）依法转让或者申请赎回其持有的基金份额；</w:t>
      </w:r>
    </w:p>
    <w:p w14:paraId="57BBDB9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）按照规定要求召开基金份额持有人大会或者召集基金份额持有人大会；</w:t>
      </w:r>
    </w:p>
    <w:p w14:paraId="5FD0DAC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）出席或者委派代表出席本基金或目标</w:t>
      </w:r>
      <w:r>
        <w:rPr>
          <w:rFonts w:asciiTheme="minorEastAsia" w:hAnsiTheme="minorEastAsia" w:eastAsiaTheme="minorEastAsia"/>
          <w:highlight w:val="none"/>
        </w:rPr>
        <w:t>ETF的</w:t>
      </w:r>
      <w:r>
        <w:rPr>
          <w:rFonts w:hint="eastAsia" w:asciiTheme="minorEastAsia" w:hAnsiTheme="minorEastAsia" w:eastAsiaTheme="minorEastAsia"/>
          <w:highlight w:val="none"/>
        </w:rPr>
        <w:t>基金份额持有人大会，对本基金或目标</w:t>
      </w:r>
      <w:r>
        <w:rPr>
          <w:rFonts w:asciiTheme="minorEastAsia" w:hAnsiTheme="minorEastAsia" w:eastAsiaTheme="minorEastAsia"/>
          <w:highlight w:val="none"/>
        </w:rPr>
        <w:t>ETF的</w:t>
      </w:r>
      <w:r>
        <w:rPr>
          <w:rFonts w:hint="eastAsia" w:asciiTheme="minorEastAsia" w:hAnsiTheme="minorEastAsia" w:eastAsiaTheme="minorEastAsia"/>
          <w:highlight w:val="none"/>
        </w:rPr>
        <w:t>基金份额持有人大会审议事项行使表决权；</w:t>
      </w:r>
    </w:p>
    <w:p w14:paraId="7DFDA5E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）查阅或者复制公开披露的基金信息资料；</w:t>
      </w:r>
    </w:p>
    <w:p w14:paraId="130FE78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）监督基金管理人的投资运作；</w:t>
      </w:r>
    </w:p>
    <w:p w14:paraId="366F9C8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）对基金管理人、基金托管人、基金服务机构损害其合法权益的行为依法提起诉讼或仲裁；</w:t>
      </w:r>
    </w:p>
    <w:p w14:paraId="5285B70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）法律法规及中国证监会规定的和《基金合同》约定的其他权利。</w:t>
      </w:r>
    </w:p>
    <w:p w14:paraId="0E9004C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、根据《基金法》、《运作办法》及其他有关规定，基金份额持有人的义务包括但不限于：</w:t>
      </w:r>
    </w:p>
    <w:p w14:paraId="393520E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）认真阅读并遵守《基金合同》、招募说明书及基金产品资料概要等信息披露文件；</w:t>
      </w:r>
    </w:p>
    <w:p w14:paraId="2729E2F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）了解所投资基金产品，了解自身风险承受能力，自主判断基金的投资价值，自主做出投资决策，自行承担投资风险；</w:t>
      </w:r>
    </w:p>
    <w:p w14:paraId="5B6D843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）关注基金信息披露，及时行使权利和履行义务；</w:t>
      </w:r>
    </w:p>
    <w:p w14:paraId="691B737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）交纳基金认购、申购款项及法律法规和《基金合同》所规定的费用；</w:t>
      </w:r>
    </w:p>
    <w:p w14:paraId="3F04F36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）在其持有的基金份额范围内，承担基金亏损或者《基金合同》终止的有限责任；</w:t>
      </w:r>
    </w:p>
    <w:p w14:paraId="42115AD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）不从事任何有损基金及其他《基金合同》当事人合法权益的活动；</w:t>
      </w:r>
    </w:p>
    <w:p w14:paraId="735DC52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）执行生效的基金份额持有人大会的决议；</w:t>
      </w:r>
    </w:p>
    <w:p w14:paraId="2855D0C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）返还在基金交易过程中因任何原因获得的不当得利；</w:t>
      </w:r>
    </w:p>
    <w:p w14:paraId="4048098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（9）法律法规及中国证监会规定的和《基金合同》约定的其他义务。</w:t>
      </w:r>
    </w:p>
    <w:p w14:paraId="5E6E5E27">
      <w:pPr>
        <w:adjustRightInd w:val="0"/>
        <w:snapToGrid w:val="0"/>
        <w:spacing w:line="360" w:lineRule="auto"/>
        <w:ind w:firstLine="420" w:firstLineChars="200"/>
        <w:rPr>
          <w:rFonts w:cs="Arial" w:asciiTheme="minorEastAsia" w:hAnsiTheme="minorEastAsia" w:eastAsiaTheme="minorEastAsia"/>
          <w:szCs w:val="21"/>
          <w:highlight w:val="none"/>
        </w:rPr>
      </w:pPr>
      <w:bookmarkStart w:id="174" w:name="_Toc123051454"/>
      <w:bookmarkStart w:id="175" w:name="_Toc79392583"/>
      <w:bookmarkStart w:id="176" w:name="_Toc123112236"/>
      <w:bookmarkStart w:id="177" w:name="_Toc139991738"/>
      <w:bookmarkStart w:id="178" w:name="_Toc4559"/>
      <w:bookmarkStart w:id="179" w:name="_Toc141703888"/>
      <w:bookmarkStart w:id="180" w:name="_Toc98560354"/>
      <w:bookmarkStart w:id="181" w:name="_Toc123102455"/>
      <w:bookmarkStart w:id="182" w:name="_Toc9706"/>
      <w:bookmarkStart w:id="183" w:name="_Toc20768"/>
      <w:bookmarkStart w:id="184" w:name="_Toc25783"/>
      <w:bookmarkStart w:id="185" w:name="_Toc6447"/>
      <w:bookmarkStart w:id="186" w:name="_Toc18567"/>
      <w:bookmarkStart w:id="187" w:name="_Toc3321"/>
      <w:bookmarkStart w:id="188" w:name="_Toc7058"/>
      <w:bookmarkStart w:id="189" w:name="_Toc10650"/>
      <w:bookmarkStart w:id="190" w:name="_Toc3771"/>
      <w:bookmarkStart w:id="191" w:name="_Toc11030"/>
    </w:p>
    <w:p w14:paraId="696F7055">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2" w:type="default"/>
          <w:pgSz w:w="11906" w:h="16838"/>
          <w:pgMar w:top="1418" w:right="1701" w:bottom="1418" w:left="1701" w:header="851" w:footer="992" w:gutter="0"/>
          <w:pgNumType w:start="1"/>
          <w:cols w:space="425" w:num="1"/>
          <w:formProt w:val="0"/>
          <w:docGrid w:type="lines" w:linePitch="312" w:charSpace="0"/>
        </w:sectPr>
      </w:pPr>
      <w:bookmarkStart w:id="192" w:name="_Toc90742325"/>
      <w:bookmarkStart w:id="193" w:name="_Toc90742394"/>
    </w:p>
    <w:bookmarkEnd w:id="150"/>
    <w:p w14:paraId="404D4F25">
      <w:pPr>
        <w:pStyle w:val="3"/>
        <w:adjustRightInd w:val="0"/>
        <w:snapToGrid w:val="0"/>
        <w:spacing w:before="312" w:beforeLines="100" w:after="0" w:line="360" w:lineRule="auto"/>
        <w:rPr>
          <w:rFonts w:asciiTheme="minorEastAsia" w:hAnsiTheme="minorEastAsia" w:eastAsiaTheme="minorEastAsia"/>
          <w:sz w:val="21"/>
          <w:highlight w:val="none"/>
        </w:rPr>
      </w:pPr>
      <w:bookmarkStart w:id="194" w:name="_Toc16237233"/>
      <w:bookmarkStart w:id="195" w:name="CLAUSE_9cc1172203b74115a9afcfbfd72d889f"/>
      <w:r>
        <w:rPr>
          <w:rFonts w:hint="eastAsia" w:cs="Arial" w:asciiTheme="minorEastAsia" w:hAnsiTheme="minorEastAsia" w:eastAsiaTheme="minorEastAsia"/>
          <w:sz w:val="21"/>
          <w:szCs w:val="21"/>
          <w:highlight w:val="none"/>
        </w:rPr>
        <w:t xml:space="preserve">第八部分 </w:t>
      </w:r>
      <w:r>
        <w:rPr>
          <w:rFonts w:cs="Arial" w:asciiTheme="minorEastAsia" w:hAnsiTheme="minorEastAsia" w:eastAsiaTheme="minorEastAsia"/>
          <w:sz w:val="21"/>
          <w:szCs w:val="21"/>
          <w:highlight w:val="none"/>
        </w:rPr>
        <w:t xml:space="preserve"> </w:t>
      </w:r>
      <w:bookmarkStart w:id="196" w:name="CTS_9cc1172203b74115a9afcfbfd72d889f"/>
      <w:bookmarkEnd w:id="196"/>
      <w:r>
        <w:rPr>
          <w:rFonts w:hint="eastAsia" w:asciiTheme="minorEastAsia" w:hAnsiTheme="minorEastAsia" w:eastAsiaTheme="minorEastAsia"/>
          <w:sz w:val="21"/>
          <w:highlight w:val="none"/>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8474ACD">
      <w:pPr>
        <w:tabs>
          <w:tab w:val="left" w:pos="1080"/>
        </w:tabs>
        <w:spacing w:line="360" w:lineRule="auto"/>
        <w:ind w:left="1075" w:leftChars="199" w:hanging="657" w:hangingChars="274"/>
        <w:rPr>
          <w:rFonts w:asciiTheme="minorEastAsia" w:hAnsiTheme="minorEastAsia" w:eastAsiaTheme="minorEastAsia"/>
          <w:bCs/>
          <w:sz w:val="24"/>
          <w:highlight w:val="none"/>
        </w:rPr>
      </w:pPr>
    </w:p>
    <w:p w14:paraId="1B25612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w:t>
      </w:r>
    </w:p>
    <w:p w14:paraId="49EB238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本基金份额持有人大会不设日常机构。</w:t>
      </w:r>
    </w:p>
    <w:p w14:paraId="4E23044A">
      <w:pPr>
        <w:adjustRightInd w:val="0"/>
        <w:snapToGrid w:val="0"/>
        <w:spacing w:line="360" w:lineRule="auto"/>
        <w:ind w:firstLine="420" w:firstLineChars="200"/>
        <w:rPr>
          <w:rFonts w:asciiTheme="minorEastAsia" w:hAnsiTheme="minorEastAsia" w:eastAsiaTheme="minorEastAsia"/>
          <w:highlight w:val="none"/>
        </w:rPr>
      </w:pPr>
      <w:bookmarkStart w:id="197" w:name="_Toc79392584"/>
      <w:bookmarkStart w:id="198" w:name="_Toc15641220"/>
      <w:bookmarkStart w:id="199" w:name="_Toc57530243"/>
      <w:r>
        <w:rPr>
          <w:rFonts w:hint="eastAsia" w:asciiTheme="minorEastAsia" w:hAnsiTheme="minorEastAsia" w:eastAsiaTheme="minorEastAsia"/>
          <w:highlight w:val="none"/>
        </w:rPr>
        <w:t>一、召开事由</w:t>
      </w:r>
      <w:bookmarkEnd w:id="197"/>
      <w:bookmarkEnd w:id="198"/>
      <w:bookmarkEnd w:id="199"/>
    </w:p>
    <w:p w14:paraId="3119CCF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、除法律法规、中国证监会另有规定或基金合同另有约定外，当出现或需要决定下列事由之一的，应当召开基金份额持有人大会：</w:t>
      </w:r>
    </w:p>
    <w:p w14:paraId="5B1548C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）终止《基金合同》；</w:t>
      </w:r>
    </w:p>
    <w:p w14:paraId="70A33F3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）更换基金管理人；</w:t>
      </w:r>
    </w:p>
    <w:p w14:paraId="4423822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）更换基金托管人；</w:t>
      </w:r>
    </w:p>
    <w:p w14:paraId="54F1BFA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）转换基金运作方式；</w:t>
      </w:r>
    </w:p>
    <w:p w14:paraId="52B682A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）调整基金管理人、基金托管人的报酬标准或提高销售服务费率；</w:t>
      </w:r>
    </w:p>
    <w:p w14:paraId="20598D6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）变更基金类别；</w:t>
      </w:r>
    </w:p>
    <w:p w14:paraId="6F7BC9C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）本基金与其他基金的合并；</w:t>
      </w:r>
    </w:p>
    <w:p w14:paraId="3600684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）变更基金投资目标、范围或策略；</w:t>
      </w:r>
    </w:p>
    <w:p w14:paraId="4876582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9</w:t>
      </w:r>
      <w:r>
        <w:rPr>
          <w:rFonts w:hint="eastAsia" w:asciiTheme="minorEastAsia" w:hAnsiTheme="minorEastAsia" w:eastAsiaTheme="minorEastAsia"/>
          <w:highlight w:val="none"/>
        </w:rPr>
        <w:t>）变更基金份额持有人大会程序；</w:t>
      </w:r>
    </w:p>
    <w:p w14:paraId="1AB43FC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10</w:t>
      </w:r>
      <w:r>
        <w:rPr>
          <w:rFonts w:hint="eastAsia" w:asciiTheme="minorEastAsia" w:hAnsiTheme="minorEastAsia" w:eastAsiaTheme="minorEastAsia"/>
          <w:highlight w:val="none"/>
        </w:rPr>
        <w:t>）基金管理人或基金托管人要求召开基金份额持有人大会；</w:t>
      </w:r>
    </w:p>
    <w:p w14:paraId="220B336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11</w:t>
      </w:r>
      <w:r>
        <w:rPr>
          <w:rFonts w:hint="eastAsia" w:asciiTheme="minorEastAsia" w:hAnsiTheme="minorEastAsia" w:eastAsiaTheme="minorEastAsia"/>
          <w:highlight w:val="none"/>
        </w:rPr>
        <w:t>）单独或合计持有本基金总份额</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）基金份额的基金份额持有人（以基金管理人收到提议当日的基金份额计算，下同）就同一事项书面要求召开基金份额持有人大会；</w:t>
      </w:r>
    </w:p>
    <w:p w14:paraId="0D8B98D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12</w:t>
      </w:r>
      <w:r>
        <w:rPr>
          <w:rFonts w:hint="eastAsia" w:asciiTheme="minorEastAsia" w:hAnsiTheme="minorEastAsia" w:eastAsiaTheme="minorEastAsia"/>
          <w:highlight w:val="none"/>
        </w:rPr>
        <w:t>）对基金合同当事人权利和义务产生重大影响的其他事项；</w:t>
      </w:r>
    </w:p>
    <w:p w14:paraId="14D43A1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（13）基金管理人代表本基金的基金份额持有人提议召开或召集目标ETF基金份额持有人大会；</w:t>
      </w:r>
    </w:p>
    <w:p w14:paraId="40493D8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（14）法律法规、《基金合同》或中国证监会规定的其他应当召开基金份额持有人大会的事项。</w:t>
      </w:r>
    </w:p>
    <w:p w14:paraId="64E89D3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、在法律法规规定和《基金合同》约定的范围内且对基金份额持有人利益无实质性不利影响的前提下，以下情况可由基金管理人和基金托管人协商后修改，不需召开基金份额持有人大会：</w:t>
      </w:r>
    </w:p>
    <w:p w14:paraId="2485DF9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）调低销售服务费；</w:t>
      </w:r>
    </w:p>
    <w:p w14:paraId="2858D72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）法律法规要求增加的基金费用的收取；</w:t>
      </w:r>
    </w:p>
    <w:p w14:paraId="7B9BB2B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（3）调整本基金的申购费率、调低赎回费率或变更收费方式，调整基金份额类别设置、对基金份额分类办法及规则进行调整；</w:t>
      </w:r>
    </w:p>
    <w:p w14:paraId="3BD5F97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）因相应的法律法规发生变动而应当对《基金合同》进行修改；</w:t>
      </w:r>
    </w:p>
    <w:p w14:paraId="5761474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）对《基金合同》的修改对基金份额持有人利益无实质性不利影响或修改不涉及《基金合同》当事人权利义务关系发生重大变化；</w:t>
      </w:r>
    </w:p>
    <w:p w14:paraId="46752AA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（6）在法律法规和中国证监会允许范围内，基金管理人、登记机构、基金销售机构调整有关认购、申购、赎回、转换、基金交易、非交易过户、转托管等业务规则；</w:t>
      </w:r>
    </w:p>
    <w:p w14:paraId="7673D33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w:t>
      </w:r>
      <w:r>
        <w:rPr>
          <w:rFonts w:hint="eastAsia" w:asciiTheme="minorEastAsia" w:hAnsiTheme="minorEastAsia" w:eastAsiaTheme="minorEastAsia"/>
          <w:color w:val="0D0D0D" w:themeColor="text1" w:themeTint="F2"/>
          <w:highlight w:val="none"/>
          <w14:textFill>
            <w14:solidFill>
              <w14:schemeClr w14:val="tx1">
                <w14:lumMod w14:val="95000"/>
                <w14:lumOff w14:val="5000"/>
              </w14:schemeClr>
            </w14:solidFill>
          </w14:textFill>
        </w:rPr>
        <w:t>履行相关程序后，</w:t>
      </w:r>
      <w:r>
        <w:rPr>
          <w:rFonts w:hint="eastAsia" w:asciiTheme="minorEastAsia" w:hAnsiTheme="minorEastAsia" w:eastAsiaTheme="minorEastAsia"/>
          <w:highlight w:val="none"/>
        </w:rPr>
        <w:t>基金推出新业务或服务；</w:t>
      </w:r>
    </w:p>
    <w:p w14:paraId="74E1246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（8）由于目标ETF交易方式重大变更致使本基金的投资策略难以实现、目标ETF终止上市或目标E</w:t>
      </w:r>
      <w:r>
        <w:rPr>
          <w:rFonts w:asciiTheme="minorEastAsia" w:hAnsiTheme="minorEastAsia" w:eastAsiaTheme="minorEastAsia"/>
          <w:highlight w:val="none"/>
        </w:rPr>
        <w:t>TF</w:t>
      </w:r>
      <w:r>
        <w:rPr>
          <w:rFonts w:hint="eastAsia" w:asciiTheme="minorEastAsia" w:hAnsiTheme="minorEastAsia" w:eastAsiaTheme="minorEastAsia"/>
          <w:highlight w:val="none"/>
        </w:rPr>
        <w:t>基金合同终止而变更为直接投资该标的指数的指数基金；</w:t>
      </w:r>
    </w:p>
    <w:p w14:paraId="498E463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（9）按照法律法规和《基金合同》规定不需召开基金份额持有人大会的其他情形。</w:t>
      </w:r>
      <w:bookmarkStart w:id="200" w:name="_Toc15641221"/>
      <w:bookmarkStart w:id="201" w:name="_Toc57530244"/>
      <w:bookmarkStart w:id="202" w:name="_Toc79392585"/>
    </w:p>
    <w:p w14:paraId="3D2406D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二、会议召集人及召集方式</w:t>
      </w:r>
      <w:bookmarkEnd w:id="200"/>
      <w:bookmarkEnd w:id="201"/>
      <w:bookmarkEnd w:id="202"/>
    </w:p>
    <w:p w14:paraId="61276FF1">
      <w:pPr>
        <w:adjustRightInd w:val="0"/>
        <w:snapToGrid w:val="0"/>
        <w:spacing w:line="360" w:lineRule="auto"/>
        <w:ind w:firstLine="420" w:firstLineChars="200"/>
        <w:rPr>
          <w:rFonts w:asciiTheme="minorEastAsia" w:hAnsiTheme="minorEastAsia" w:eastAsiaTheme="minorEastAsia"/>
          <w:highlight w:val="none"/>
        </w:rPr>
      </w:pPr>
      <w:bookmarkStart w:id="203" w:name="_Toc15641222"/>
      <w:bookmarkStart w:id="204" w:name="_Toc57530245"/>
      <w:r>
        <w:rPr>
          <w:rFonts w:asciiTheme="minorEastAsia" w:hAnsiTheme="minorEastAsia" w:eastAsiaTheme="minorEastAsia"/>
          <w:highlight w:val="none"/>
        </w:rPr>
        <w:t>1</w:t>
      </w:r>
      <w:r>
        <w:rPr>
          <w:rFonts w:hint="eastAsia" w:asciiTheme="minorEastAsia" w:hAnsiTheme="minorEastAsia" w:eastAsiaTheme="minorEastAsia"/>
          <w:highlight w:val="none"/>
        </w:rPr>
        <w:t>、除法律法规规定或《基金合同》另有约定外，基金份额持有人大会由基金管理人召集。</w:t>
      </w:r>
    </w:p>
    <w:p w14:paraId="3CE06BF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、基金管理人未按规定召集或不能召集时，由基金托管人召集。</w:t>
      </w:r>
    </w:p>
    <w:p w14:paraId="01AC55E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、基金托管人认为有必要召开基金份额持有人大会的，应当向基金管理人提出书面提议。基金管理人应当自收到书面提议之日起</w:t>
      </w:r>
      <w:r>
        <w:rPr>
          <w:rFonts w:asciiTheme="minorEastAsia" w:hAnsiTheme="minorEastAsia" w:eastAsiaTheme="minorEastAsia"/>
          <w:highlight w:val="none"/>
        </w:rPr>
        <w:t>10</w:t>
      </w:r>
      <w:r>
        <w:rPr>
          <w:rFonts w:hint="eastAsia" w:asciiTheme="minorEastAsia" w:hAnsiTheme="minorEastAsia" w:eastAsiaTheme="minorEastAsia"/>
          <w:highlight w:val="none"/>
        </w:rPr>
        <w:t>日内决定是否召集，并书面告知基金托管人。基金管理人决定召集的，应当自出具书面决定之日起</w:t>
      </w:r>
      <w:r>
        <w:rPr>
          <w:rFonts w:asciiTheme="minorEastAsia" w:hAnsiTheme="minorEastAsia" w:eastAsiaTheme="minorEastAsia"/>
          <w:highlight w:val="none"/>
        </w:rPr>
        <w:t>60</w:t>
      </w:r>
      <w:r>
        <w:rPr>
          <w:rFonts w:hint="eastAsia" w:asciiTheme="minorEastAsia" w:hAnsiTheme="minorEastAsia" w:eastAsiaTheme="minorEastAsia"/>
          <w:highlight w:val="none"/>
        </w:rPr>
        <w:t>日内召开；基金管理人决定不召集，基金托管人仍认为有必要召开的，应当由基金托管人自行召集，并自出具书面决定之日起</w:t>
      </w:r>
      <w:r>
        <w:rPr>
          <w:rFonts w:asciiTheme="minorEastAsia" w:hAnsiTheme="minorEastAsia" w:eastAsiaTheme="minorEastAsia"/>
          <w:highlight w:val="none"/>
        </w:rPr>
        <w:t>60</w:t>
      </w:r>
      <w:r>
        <w:rPr>
          <w:rFonts w:hint="eastAsia" w:asciiTheme="minorEastAsia" w:hAnsiTheme="minorEastAsia" w:eastAsiaTheme="minorEastAsia"/>
          <w:highlight w:val="none"/>
        </w:rPr>
        <w:t>日内召开并告知基金管理人，基金管理人应当配合。</w:t>
      </w:r>
    </w:p>
    <w:p w14:paraId="615DF59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、代表基金份额</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）的基金份额持有人就同一事项书面要求召开基金份额持有人大会，应当向基金管理人提出书面提议。基金管理人应当自收到书面提议之日起</w:t>
      </w:r>
      <w:r>
        <w:rPr>
          <w:rFonts w:asciiTheme="minorEastAsia" w:hAnsiTheme="minorEastAsia" w:eastAsiaTheme="minorEastAsia"/>
          <w:highlight w:val="none"/>
        </w:rPr>
        <w:t>10</w:t>
      </w:r>
      <w:r>
        <w:rPr>
          <w:rFonts w:hint="eastAsia" w:asciiTheme="minorEastAsia" w:hAnsiTheme="minorEastAsia" w:eastAsiaTheme="minorEastAsia"/>
          <w:highlight w:val="none"/>
        </w:rPr>
        <w:t>日内决定是否召集，并书面告知提出提议的基金份额持有人代表和基金托管人。基金管理人决定召集的，应当自出具书面决定之日起</w:t>
      </w:r>
      <w:r>
        <w:rPr>
          <w:rFonts w:asciiTheme="minorEastAsia" w:hAnsiTheme="minorEastAsia" w:eastAsiaTheme="minorEastAsia"/>
          <w:highlight w:val="none"/>
        </w:rPr>
        <w:t>60</w:t>
      </w:r>
      <w:r>
        <w:rPr>
          <w:rFonts w:hint="eastAsia" w:asciiTheme="minorEastAsia" w:hAnsiTheme="minorEastAsia" w:eastAsiaTheme="minorEastAsia"/>
          <w:highlight w:val="none"/>
        </w:rPr>
        <w:t>日内召开；基金管理人决定不召集，代表基金份额</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）的基金份额持有人仍认为有必要召开的，应当向基金托管人提出书面提议。基金托管人应当自收到书面提议之日起</w:t>
      </w:r>
      <w:r>
        <w:rPr>
          <w:rFonts w:asciiTheme="minorEastAsia" w:hAnsiTheme="minorEastAsia" w:eastAsiaTheme="minorEastAsia"/>
          <w:highlight w:val="none"/>
        </w:rPr>
        <w:t>10</w:t>
      </w:r>
      <w:r>
        <w:rPr>
          <w:rFonts w:hint="eastAsia" w:asciiTheme="minorEastAsia" w:hAnsiTheme="minorEastAsia" w:eastAsiaTheme="minorEastAsia"/>
          <w:highlight w:val="none"/>
        </w:rPr>
        <w:t>日内决定是否召集，并书面告知提出提议的基金份额持有人代表和基金管理人；基金托管人决定召集的，应当自出具书面决定之日起</w:t>
      </w:r>
      <w:r>
        <w:rPr>
          <w:rFonts w:asciiTheme="minorEastAsia" w:hAnsiTheme="minorEastAsia" w:eastAsiaTheme="minorEastAsia"/>
          <w:highlight w:val="none"/>
        </w:rPr>
        <w:t>60</w:t>
      </w:r>
      <w:r>
        <w:rPr>
          <w:rFonts w:hint="eastAsia" w:asciiTheme="minorEastAsia" w:hAnsiTheme="minorEastAsia" w:eastAsiaTheme="minorEastAsia"/>
          <w:highlight w:val="none"/>
        </w:rPr>
        <w:t>日内召开并告知基金管理人，基金管理人应当配合。</w:t>
      </w:r>
    </w:p>
    <w:p w14:paraId="3F0A3B1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、代表基金份额</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）的基金份额持有人就同一事项要求召开基金份额持有人大会，而基金管理人、基金托管人都不召集的，单独或合计代表基金份额</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）的基金份额持有人有权自行召集，并至少提前</w:t>
      </w:r>
      <w:r>
        <w:rPr>
          <w:rFonts w:asciiTheme="minorEastAsia" w:hAnsiTheme="minorEastAsia" w:eastAsiaTheme="minorEastAsia"/>
          <w:highlight w:val="none"/>
        </w:rPr>
        <w:t>30</w:t>
      </w:r>
      <w:r>
        <w:rPr>
          <w:rFonts w:hint="eastAsia" w:asciiTheme="minorEastAsia" w:hAnsiTheme="minorEastAsia" w:eastAsiaTheme="minorEastAsia"/>
          <w:highlight w:val="none"/>
        </w:rPr>
        <w:t>日报中国证监会备案。基金份额持有人依法自行召集基金份额持有人大会的，基金管理人、基金托管人应当配合，不得阻碍、干扰。</w:t>
      </w:r>
    </w:p>
    <w:p w14:paraId="616863B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、基金份额持有人会议的召集人负责选择确定开会时间、地点、方式和权益登记日。</w:t>
      </w:r>
    </w:p>
    <w:p w14:paraId="2B389E8B">
      <w:pPr>
        <w:adjustRightInd w:val="0"/>
        <w:snapToGrid w:val="0"/>
        <w:spacing w:line="360" w:lineRule="auto"/>
        <w:ind w:firstLine="420" w:firstLineChars="200"/>
        <w:rPr>
          <w:rFonts w:asciiTheme="minorEastAsia" w:hAnsiTheme="minorEastAsia" w:eastAsiaTheme="minorEastAsia"/>
          <w:highlight w:val="none"/>
        </w:rPr>
      </w:pPr>
      <w:bookmarkStart w:id="205" w:name="_Toc79392586"/>
      <w:r>
        <w:rPr>
          <w:rFonts w:hint="eastAsia" w:asciiTheme="minorEastAsia" w:hAnsiTheme="minorEastAsia" w:eastAsiaTheme="minorEastAsia"/>
          <w:highlight w:val="none"/>
        </w:rPr>
        <w:t>三、召开基金份额持有人大会的通知时间、通知内容、通知方式</w:t>
      </w:r>
      <w:bookmarkEnd w:id="203"/>
      <w:bookmarkEnd w:id="204"/>
      <w:bookmarkEnd w:id="205"/>
    </w:p>
    <w:p w14:paraId="5C6B2AE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、召开基金份额持有人大会，召集人应于会议召开前</w:t>
      </w:r>
      <w:r>
        <w:rPr>
          <w:rFonts w:asciiTheme="minorEastAsia" w:hAnsiTheme="minorEastAsia" w:eastAsiaTheme="minorEastAsia"/>
          <w:highlight w:val="none"/>
        </w:rPr>
        <w:t>30</w:t>
      </w:r>
      <w:r>
        <w:rPr>
          <w:rFonts w:hint="eastAsia" w:asciiTheme="minorEastAsia" w:hAnsiTheme="minorEastAsia" w:eastAsiaTheme="minorEastAsia"/>
          <w:highlight w:val="none"/>
        </w:rPr>
        <w:t>日在规定媒介公告。基金份额持有人大会通知应至少载明以下内容：</w:t>
      </w:r>
    </w:p>
    <w:p w14:paraId="015E4BE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）会议召开的时间、地点和会议形式；</w:t>
      </w:r>
    </w:p>
    <w:p w14:paraId="39AB6CC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）会议拟审议的事项、议事程序和表决方式；</w:t>
      </w:r>
    </w:p>
    <w:p w14:paraId="23A867A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）有权出席基金份额持有人大会的基金份额持有人的权益登记日；</w:t>
      </w:r>
    </w:p>
    <w:p w14:paraId="547BD93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）授权委托证明的内容要求（包括但不限于代理人身份，代理权限和代理有效期限等）、送达时间和地点；</w:t>
      </w:r>
    </w:p>
    <w:p w14:paraId="508AC24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）会务常设联系人姓名及联系电话；</w:t>
      </w:r>
    </w:p>
    <w:p w14:paraId="5CD3E35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）出席会议者必须准备的文件和必须履行的手续；</w:t>
      </w:r>
    </w:p>
    <w:p w14:paraId="4639EAC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）召集人需要通知的其他事项。</w:t>
      </w:r>
    </w:p>
    <w:p w14:paraId="5F00A4A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08405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ACF4F1">
      <w:pPr>
        <w:adjustRightInd w:val="0"/>
        <w:snapToGrid w:val="0"/>
        <w:spacing w:line="360" w:lineRule="auto"/>
        <w:ind w:firstLine="420" w:firstLineChars="200"/>
        <w:rPr>
          <w:rFonts w:asciiTheme="minorEastAsia" w:hAnsiTheme="minorEastAsia" w:eastAsiaTheme="minorEastAsia"/>
          <w:highlight w:val="none"/>
        </w:rPr>
      </w:pPr>
      <w:bookmarkStart w:id="206" w:name="_Toc57530246"/>
      <w:bookmarkStart w:id="207" w:name="_Toc15641223"/>
      <w:bookmarkStart w:id="208" w:name="_Toc79392587"/>
      <w:r>
        <w:rPr>
          <w:rFonts w:hint="eastAsia" w:asciiTheme="minorEastAsia" w:hAnsiTheme="minorEastAsia" w:eastAsiaTheme="minorEastAsia"/>
          <w:highlight w:val="none"/>
        </w:rPr>
        <w:t>四、基金份额持有人出席会议的方式</w:t>
      </w:r>
      <w:bookmarkEnd w:id="206"/>
      <w:bookmarkEnd w:id="207"/>
      <w:bookmarkEnd w:id="208"/>
    </w:p>
    <w:p w14:paraId="18D6EB0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基金份额持有人大会可通过现场开会方式、通讯开会方式或法律法规、监管机构允许的其他方式召开，会议的召开方式由会议召集人确定。</w:t>
      </w:r>
    </w:p>
    <w:p w14:paraId="59BB594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9E96B9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C928EC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heme="minorEastAsia" w:hAnsiTheme="minorEastAsia" w:eastAsiaTheme="minorEastAsia"/>
          <w:highlight w:val="none"/>
        </w:rPr>
        <w:t>3</w:t>
      </w:r>
      <w:r>
        <w:rPr>
          <w:rFonts w:hint="eastAsia" w:asciiTheme="minorEastAsia" w:hAnsiTheme="minorEastAsia" w:eastAsiaTheme="minorEastAsia"/>
          <w:highlight w:val="none"/>
        </w:rPr>
        <w:t>个月以后、</w:t>
      </w:r>
      <w:r>
        <w:rPr>
          <w:rFonts w:asciiTheme="minorEastAsia" w:hAnsiTheme="minorEastAsia" w:eastAsiaTheme="minorEastAsia"/>
          <w:highlight w:val="none"/>
        </w:rPr>
        <w:t>6</w:t>
      </w:r>
      <w:r>
        <w:rPr>
          <w:rFonts w:hint="eastAsia" w:asciiTheme="minorEastAsia" w:hAnsiTheme="minorEastAsia" w:eastAsiaTheme="minorEastAsia"/>
          <w:highlight w:val="none"/>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5F298E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通讯开会。通讯开会系指基金份额持有人将其对表决事项的投票以书面形式或基金份额持有人大会公告载明的其他方式在表决截止日以前送达至召集人指定的地址。通讯开会应以书面方式或基金份额持有人大会公告载明的其他方式进行表决。</w:t>
      </w:r>
    </w:p>
    <w:p w14:paraId="7EB58AD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在同时符合以下条件时，通讯开会的方式视为有效：</w:t>
      </w:r>
    </w:p>
    <w:p w14:paraId="4AAF15A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）会议召集人按《基金合同》约定公布会议通知后，在</w:t>
      </w:r>
      <w:r>
        <w:rPr>
          <w:rFonts w:asciiTheme="minorEastAsia" w:hAnsiTheme="minorEastAsia" w:eastAsiaTheme="minorEastAsia"/>
          <w:highlight w:val="none"/>
        </w:rPr>
        <w:t>2</w:t>
      </w:r>
      <w:r>
        <w:rPr>
          <w:rFonts w:hint="eastAsia" w:asciiTheme="minorEastAsia" w:hAnsiTheme="minorEastAsia" w:eastAsiaTheme="minorEastAsia"/>
          <w:highlight w:val="none"/>
        </w:rPr>
        <w:t>个工作日内连续公布相关提示性公告；</w:t>
      </w:r>
    </w:p>
    <w:p w14:paraId="6DF70B2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42651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heme="minorEastAsia" w:hAnsiTheme="minorEastAsia" w:eastAsiaTheme="minorEastAsia"/>
          <w:highlight w:val="none"/>
        </w:rPr>
        <w:t>3</w:t>
      </w:r>
      <w:r>
        <w:rPr>
          <w:rFonts w:hint="eastAsia" w:asciiTheme="minorEastAsia" w:hAnsiTheme="minorEastAsia" w:eastAsiaTheme="minorEastAsia"/>
          <w:highlight w:val="none"/>
        </w:rPr>
        <w:t>个月以后、</w:t>
      </w:r>
      <w:r>
        <w:rPr>
          <w:rFonts w:asciiTheme="minorEastAsia" w:hAnsiTheme="minorEastAsia" w:eastAsiaTheme="minorEastAsia"/>
          <w:highlight w:val="none"/>
        </w:rPr>
        <w:t>6</w:t>
      </w:r>
      <w:r>
        <w:rPr>
          <w:rFonts w:hint="eastAsia" w:asciiTheme="minorEastAsia" w:hAnsiTheme="minorEastAsia" w:eastAsiaTheme="minorEastAsia"/>
          <w:highlight w:val="none"/>
        </w:rPr>
        <w:t>个月以内，就原定审议事项重新召集基金份额持有人大会。重新召集的基金份额持有人大会应当有代表三分之一以上（含三分之一）基金份额的持有人直接出具表决意见或授权他人代表出具表决意见；</w:t>
      </w:r>
    </w:p>
    <w:p w14:paraId="716B6FF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）上述第（</w:t>
      </w:r>
      <w:r>
        <w:rPr>
          <w:rFonts w:asciiTheme="minorEastAsia" w:hAnsiTheme="minorEastAsia" w:eastAsiaTheme="minorEastAsia"/>
          <w:highlight w:val="none"/>
        </w:rPr>
        <w:t>3</w:t>
      </w:r>
      <w:r>
        <w:rPr>
          <w:rFonts w:hint="eastAsia" w:asciiTheme="minorEastAsia" w:hAnsiTheme="minorEastAsia" w:eastAsiaTheme="minorEastAsia"/>
          <w:highlight w:val="none"/>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083DDB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在不违反法律法规和监管机关规定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14:paraId="7E05C25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ABEC2D4">
      <w:pPr>
        <w:adjustRightInd w:val="0"/>
        <w:snapToGrid w:val="0"/>
        <w:spacing w:line="360" w:lineRule="auto"/>
        <w:ind w:firstLine="420" w:firstLineChars="200"/>
        <w:rPr>
          <w:rFonts w:asciiTheme="minorEastAsia" w:hAnsiTheme="minorEastAsia" w:eastAsiaTheme="minorEastAsia"/>
          <w:highlight w:val="none"/>
        </w:rPr>
      </w:pPr>
      <w:bookmarkStart w:id="209" w:name="_Toc57530247"/>
      <w:bookmarkStart w:id="210" w:name="_Toc79392588"/>
      <w:bookmarkStart w:id="211" w:name="_Toc15641224"/>
      <w:r>
        <w:rPr>
          <w:rFonts w:hint="eastAsia" w:asciiTheme="minorEastAsia" w:hAnsiTheme="minorEastAsia" w:eastAsiaTheme="minorEastAsia"/>
          <w:highlight w:val="none"/>
        </w:rPr>
        <w:t>五、议事内容与程序</w:t>
      </w:r>
      <w:bookmarkEnd w:id="209"/>
      <w:bookmarkEnd w:id="210"/>
      <w:bookmarkEnd w:id="211"/>
    </w:p>
    <w:p w14:paraId="6BEE094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、议事内容及提案权</w:t>
      </w:r>
    </w:p>
    <w:p w14:paraId="737EAF9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4581D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基金份额持有人大会的召集人发出召集会议的通知后，对原有提案的修改应当在基金份额持有人大会召开前及时公告。</w:t>
      </w:r>
    </w:p>
    <w:p w14:paraId="19799B4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基金份额持有人大会不得对未事先公告的议事内容进行表决。</w:t>
      </w:r>
    </w:p>
    <w:p w14:paraId="40B1D43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、议事程序</w:t>
      </w:r>
    </w:p>
    <w:p w14:paraId="71FBC79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）现场开会</w:t>
      </w:r>
    </w:p>
    <w:p w14:paraId="681C4A7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F61BE9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会议召集人应当制作出席会议人员的签名册。签名册载明参加会议人员姓名（或单位名称）、身份证明文件号码、持有或代表有表决权的基金份额、委托人姓名（或单位名称）和联系方式等事项。</w:t>
      </w:r>
    </w:p>
    <w:p w14:paraId="49D4BCB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）通讯开会</w:t>
      </w:r>
    </w:p>
    <w:p w14:paraId="196CE86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在通讯开会的情况下，首先由召集人提前</w:t>
      </w:r>
      <w:r>
        <w:rPr>
          <w:rFonts w:asciiTheme="minorEastAsia" w:hAnsiTheme="minorEastAsia" w:eastAsiaTheme="minorEastAsia"/>
          <w:highlight w:val="none"/>
        </w:rPr>
        <w:t>30</w:t>
      </w:r>
      <w:r>
        <w:rPr>
          <w:rFonts w:hint="eastAsia" w:asciiTheme="minorEastAsia" w:hAnsiTheme="minorEastAsia" w:eastAsiaTheme="minorEastAsia"/>
          <w:highlight w:val="none"/>
        </w:rPr>
        <w:t>日公布提案，在所通知的表决截止日期后</w:t>
      </w:r>
      <w:r>
        <w:rPr>
          <w:rFonts w:asciiTheme="minorEastAsia" w:hAnsiTheme="minorEastAsia" w:eastAsiaTheme="minorEastAsia"/>
          <w:highlight w:val="none"/>
        </w:rPr>
        <w:t>2</w:t>
      </w:r>
      <w:r>
        <w:rPr>
          <w:rFonts w:hint="eastAsia" w:asciiTheme="minorEastAsia" w:hAnsiTheme="minorEastAsia" w:eastAsiaTheme="minorEastAsia"/>
          <w:highlight w:val="none"/>
        </w:rPr>
        <w:t>个工作日内在公证机关监督下由召集人统计全部有效表决，在公证机关监督下形成决议。</w:t>
      </w:r>
    </w:p>
    <w:p w14:paraId="50790709">
      <w:pPr>
        <w:adjustRightInd w:val="0"/>
        <w:snapToGrid w:val="0"/>
        <w:spacing w:line="360" w:lineRule="auto"/>
        <w:ind w:firstLine="420" w:firstLineChars="200"/>
        <w:rPr>
          <w:rFonts w:asciiTheme="minorEastAsia" w:hAnsiTheme="minorEastAsia" w:eastAsiaTheme="minorEastAsia"/>
          <w:highlight w:val="none"/>
        </w:rPr>
      </w:pPr>
      <w:bookmarkStart w:id="212" w:name="_Toc15641225"/>
      <w:bookmarkStart w:id="213" w:name="_Toc79392589"/>
      <w:bookmarkStart w:id="214" w:name="_Toc57530248"/>
      <w:r>
        <w:rPr>
          <w:rFonts w:hint="eastAsia" w:asciiTheme="minorEastAsia" w:hAnsiTheme="minorEastAsia" w:eastAsiaTheme="minorEastAsia"/>
          <w:highlight w:val="none"/>
        </w:rPr>
        <w:t>六、表决</w:t>
      </w:r>
      <w:bookmarkEnd w:id="212"/>
      <w:bookmarkEnd w:id="213"/>
      <w:bookmarkEnd w:id="214"/>
    </w:p>
    <w:p w14:paraId="6332B45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基金份额持有人所持每份基金份额有一票表决权。</w:t>
      </w:r>
    </w:p>
    <w:p w14:paraId="31B7B78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基金份额持有人大会决议分为一般决议和特别决议：</w:t>
      </w:r>
    </w:p>
    <w:p w14:paraId="3CC53E6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、一般决议，一般决议须经参加大会的基金份额持有人或其代理人所持表决权的二分之一以上（含二分之一）通过方为有效；除下列第</w:t>
      </w:r>
      <w:r>
        <w:rPr>
          <w:rFonts w:asciiTheme="minorEastAsia" w:hAnsiTheme="minorEastAsia" w:eastAsiaTheme="minorEastAsia"/>
          <w:highlight w:val="none"/>
        </w:rPr>
        <w:t>2</w:t>
      </w:r>
      <w:r>
        <w:rPr>
          <w:rFonts w:hint="eastAsia" w:asciiTheme="minorEastAsia" w:hAnsiTheme="minorEastAsia" w:eastAsiaTheme="minorEastAsia"/>
          <w:highlight w:val="none"/>
        </w:rPr>
        <w:t>项所规定的须以特别决议通过事项以外的其他事项均以一般决议的方式通过。</w:t>
      </w:r>
    </w:p>
    <w:p w14:paraId="18FCB2B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、特别决议，特别决议应当经参加大会的基金份额持有人或其代理人所持表决权的三分之二以上（含三分之二）通过方可做出。除法律法规、监管</w:t>
      </w:r>
      <w:r>
        <w:rPr>
          <w:rFonts w:asciiTheme="minorEastAsia" w:hAnsiTheme="minorEastAsia" w:eastAsiaTheme="minorEastAsia"/>
          <w:highlight w:val="none"/>
        </w:rPr>
        <w:t>机构</w:t>
      </w:r>
      <w:r>
        <w:rPr>
          <w:rFonts w:hint="eastAsia" w:asciiTheme="minorEastAsia" w:hAnsiTheme="minorEastAsia" w:eastAsiaTheme="minorEastAsia"/>
          <w:highlight w:val="none"/>
        </w:rPr>
        <w:t>另有规定或本基金合同另有约定外，转换基金运作方式、更换基金管理人或者基金托管人、终止《基金合同》、本基金与其他基金合并以特别决议通过方为有效。</w:t>
      </w:r>
    </w:p>
    <w:p w14:paraId="59320D5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基金份额持有人大会采取记名方式进行投票表决。</w:t>
      </w:r>
    </w:p>
    <w:p w14:paraId="2086AF9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70C58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基金份额持有人大会的各项提案或同一项提案内并列的各项议题应当分开审议、逐项表决。</w:t>
      </w:r>
    </w:p>
    <w:p w14:paraId="2B2B5BBB">
      <w:pPr>
        <w:adjustRightInd w:val="0"/>
        <w:snapToGrid w:val="0"/>
        <w:spacing w:line="360" w:lineRule="auto"/>
        <w:ind w:firstLine="420" w:firstLineChars="200"/>
        <w:rPr>
          <w:rFonts w:asciiTheme="minorEastAsia" w:hAnsiTheme="minorEastAsia" w:eastAsiaTheme="minorEastAsia"/>
          <w:highlight w:val="none"/>
        </w:rPr>
      </w:pPr>
      <w:bookmarkStart w:id="215" w:name="_Toc57530249"/>
      <w:bookmarkStart w:id="216" w:name="_Toc15641226"/>
      <w:bookmarkStart w:id="217" w:name="_Toc79392590"/>
      <w:r>
        <w:rPr>
          <w:rFonts w:hint="eastAsia" w:asciiTheme="minorEastAsia" w:hAnsiTheme="minorEastAsia" w:eastAsiaTheme="minorEastAsia"/>
          <w:highlight w:val="none"/>
        </w:rPr>
        <w:t>七、计票</w:t>
      </w:r>
      <w:bookmarkEnd w:id="215"/>
      <w:bookmarkEnd w:id="216"/>
      <w:bookmarkEnd w:id="217"/>
    </w:p>
    <w:p w14:paraId="5822D9F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、现场开会</w:t>
      </w:r>
    </w:p>
    <w:p w14:paraId="6177359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2675AE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）监票人应当在基金份额持有人表决后立即进行清点并由大会主持人当场公布计票结果。</w:t>
      </w:r>
    </w:p>
    <w:p w14:paraId="38F0859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B4DAD0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）计票过程应由公证机关予以公证，基金管理人或基金托管人拒不出席大会的，不影响计票的效力。</w:t>
      </w:r>
    </w:p>
    <w:p w14:paraId="5049220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、通讯开会</w:t>
      </w:r>
    </w:p>
    <w:p w14:paraId="7FA73BB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15641227"/>
      <w:bookmarkStart w:id="220" w:name="_Toc57530250"/>
      <w:r>
        <w:rPr>
          <w:rFonts w:hint="eastAsia" w:asciiTheme="minorEastAsia" w:hAnsiTheme="minorEastAsia" w:eastAsiaTheme="minorEastAsia"/>
          <w:highlight w:val="none"/>
        </w:rPr>
        <w:t>。基金管理人或基金托管人拒派代表对表决意见的计票进行监督的，不影响计票和表决结果。</w:t>
      </w:r>
    </w:p>
    <w:p w14:paraId="5BF0253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八、生效与公告</w:t>
      </w:r>
      <w:bookmarkEnd w:id="218"/>
      <w:bookmarkEnd w:id="219"/>
      <w:bookmarkEnd w:id="220"/>
    </w:p>
    <w:p w14:paraId="6C8C6B8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基金份额持有人大会的决议，召集人应当自通过之日起</w:t>
      </w:r>
      <w:r>
        <w:rPr>
          <w:rFonts w:asciiTheme="minorEastAsia" w:hAnsiTheme="minorEastAsia" w:eastAsiaTheme="minorEastAsia"/>
          <w:highlight w:val="none"/>
        </w:rPr>
        <w:t>5</w:t>
      </w:r>
      <w:r>
        <w:rPr>
          <w:rFonts w:hint="eastAsia" w:asciiTheme="minorEastAsia" w:hAnsiTheme="minorEastAsia" w:eastAsiaTheme="minorEastAsia"/>
          <w:highlight w:val="none"/>
        </w:rPr>
        <w:t>日内报中国证监会备案。</w:t>
      </w:r>
    </w:p>
    <w:p w14:paraId="3872096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基金份额持有人大会的决议自表决通过之日起生效。</w:t>
      </w:r>
    </w:p>
    <w:p w14:paraId="7F67DF5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基金份额持有人大会决议自生效之日起按规定在规定媒介上公告。</w:t>
      </w:r>
      <w:bookmarkStart w:id="221" w:name="_Hlt88820702"/>
      <w:bookmarkEnd w:id="221"/>
      <w:r>
        <w:rPr>
          <w:rFonts w:hint="eastAsia" w:asciiTheme="minorEastAsia" w:hAnsiTheme="minorEastAsia" w:eastAsiaTheme="minorEastAsia"/>
          <w:highlight w:val="none"/>
        </w:rPr>
        <w:t>如果采用通讯方式进行表决，在公告基金份额持有人大会决议时，必须将公证书全文、公证机构、公证员姓名等一同公告。</w:t>
      </w:r>
    </w:p>
    <w:p w14:paraId="316AABE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基金管理人、基金托管人和基金份额持有人应当执行生效的基金份额持有人大会的决议。生效的基金份额持有人大会决议对全体基金份额持有人、基金管理人、基金托管人均有约束力。</w:t>
      </w:r>
      <w:bookmarkStart w:id="222" w:name="_Toc21735"/>
      <w:bookmarkStart w:id="223" w:name="_Toc98560355"/>
      <w:bookmarkStart w:id="224" w:name="_Toc725"/>
      <w:bookmarkStart w:id="225" w:name="_Toc3963"/>
      <w:bookmarkStart w:id="226" w:name="_Toc3080"/>
      <w:bookmarkStart w:id="227" w:name="_Toc139991739"/>
      <w:bookmarkStart w:id="228" w:name="_Toc18206"/>
      <w:bookmarkStart w:id="229" w:name="_Toc3572"/>
      <w:bookmarkStart w:id="230" w:name="_Toc18769"/>
      <w:bookmarkStart w:id="231" w:name="_Toc123102456"/>
      <w:bookmarkStart w:id="232" w:name="_Toc123112237"/>
      <w:bookmarkStart w:id="233" w:name="_Toc1745"/>
      <w:bookmarkStart w:id="234" w:name="_Toc123051455"/>
      <w:bookmarkStart w:id="235" w:name="_Toc31821"/>
      <w:bookmarkStart w:id="236" w:name="_Toc16164"/>
      <w:bookmarkStart w:id="237" w:name="_Toc141703889"/>
      <w:bookmarkStart w:id="238" w:name="_Toc10398"/>
    </w:p>
    <w:p w14:paraId="36A6B45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九、实施侧袋机制期间基金份额持有人大会的特殊约定</w:t>
      </w:r>
    </w:p>
    <w:p w14:paraId="7ECA2AF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EEAF8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1、基金份额持有人行使提议权、召集权、提名权所需单独或合计代表相关基金份额10%以上（含10%）；</w:t>
      </w:r>
    </w:p>
    <w:p w14:paraId="69B3052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2、现场开会的到会者在权益登记日代表的基金份额不少于本基金在权益登记日相关基金份额的二分之一（含二分之一）；</w:t>
      </w:r>
    </w:p>
    <w:p w14:paraId="7B46532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3、通讯开会的直接出具表决意见或授权他人代表出具表决意见的基金份额持有人所持有的基金份额不小于在权益登记日相关基金份额的二分之一（含二分之一）；</w:t>
      </w:r>
    </w:p>
    <w:p w14:paraId="60D21A0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B6CFAF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5、现场开会由出席大会的基金份额持有人和代理人所持表决权的50%以上（含50%）选举产生一名基金份额持有人作为该次基金份额持有人大会的主持人；</w:t>
      </w:r>
    </w:p>
    <w:p w14:paraId="5238DEA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6、一般决议须经参加大会的基金份额持有人或其代理人所持表决权的二分之一以上（含二分之一）通过；</w:t>
      </w:r>
    </w:p>
    <w:p w14:paraId="59EB90A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7、特别决议应当经参加大会的基金份额持有人或其代理人所持表决权的三分之二以上（含三分之二）通过。</w:t>
      </w:r>
    </w:p>
    <w:p w14:paraId="21655F9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侧袋机制实施期间，基金份额持有人大会审议事项涉及主袋账户和侧袋账户的，应分别由主袋账户、侧袋账户的基金份额持有人进行表决，同一主侧袋账户内每份基金份额具有平等的表决权。表决事项未涉及侧袋账户的，侧袋账户份额无表决权。</w:t>
      </w:r>
    </w:p>
    <w:p w14:paraId="00A0E24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侧袋机制实施期间，关于基金份额持有人大会的相关规定以本节特殊约定内容为准，本节没有规定的适用上文相关约定。</w:t>
      </w:r>
    </w:p>
    <w:p w14:paraId="0FBAB90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本部分关于基金份额持有人大会召开事由、召开条件、议事程序、表决条件等规定，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审议。</w:t>
      </w:r>
    </w:p>
    <w:p w14:paraId="403A281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十一、鉴于本基金是目标</w:t>
      </w:r>
      <w:r>
        <w:rPr>
          <w:rFonts w:asciiTheme="minorEastAsia" w:hAnsiTheme="minorEastAsia" w:eastAsiaTheme="minorEastAsia"/>
          <w:highlight w:val="none"/>
        </w:rPr>
        <w:t>ETF的联接基金，本基金的基金份额持有人可以凭所持有的本基金份额出席或者委派代表出席目标ETF的</w:t>
      </w:r>
      <w:r>
        <w:rPr>
          <w:rFonts w:hint="eastAsia" w:asciiTheme="minorEastAsia" w:hAnsiTheme="minorEastAsia" w:eastAsiaTheme="minorEastAsia"/>
          <w:highlight w:val="none"/>
        </w:rPr>
        <w:t>基金份额持有人大会并参与表决，其持有的享有表决权的基金份额数和表决票数为：在目标</w:t>
      </w:r>
      <w:r>
        <w:rPr>
          <w:rFonts w:asciiTheme="minorEastAsia" w:hAnsiTheme="minorEastAsia" w:eastAsiaTheme="minorEastAsia"/>
          <w:highlight w:val="none"/>
        </w:rPr>
        <w:t>ETF基金份额持有人大会的权益登记日，本基金持有目标ETF份额的总数乘以该持有人所持有的本基金份额占本基金总份额的比例，计算结果按照四舍五入的方法，保留到整数位。</w:t>
      </w:r>
    </w:p>
    <w:p w14:paraId="5196129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本基金的基金管理人不应以本基金的名义代表本基金的全体基金份额持有人以目标</w:t>
      </w:r>
      <w:r>
        <w:rPr>
          <w:rFonts w:asciiTheme="minorEastAsia" w:hAnsiTheme="minorEastAsia" w:eastAsiaTheme="minorEastAsia"/>
          <w:highlight w:val="none"/>
        </w:rPr>
        <w:t>ETF</w:t>
      </w:r>
      <w:r>
        <w:rPr>
          <w:rFonts w:hint="eastAsia" w:asciiTheme="minorEastAsia" w:hAnsiTheme="minorEastAsia" w:eastAsiaTheme="minorEastAsia"/>
          <w:highlight w:val="none"/>
        </w:rPr>
        <w:t>的基金份额持有人的身份行使表决权，但可接受本基金的特定基金份额持有人的委托以本基金的基金份额持有人代理人的身份出席目标</w:t>
      </w:r>
      <w:r>
        <w:rPr>
          <w:rFonts w:asciiTheme="minorEastAsia" w:hAnsiTheme="minorEastAsia" w:eastAsiaTheme="minorEastAsia"/>
          <w:highlight w:val="none"/>
        </w:rPr>
        <w:t>ETF的基金份额持有人大会并参与表决。</w:t>
      </w:r>
    </w:p>
    <w:p w14:paraId="2796A45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本基金的基金管理人代表本基金的基金份额持有人提议召开或召集目标</w:t>
      </w:r>
      <w:r>
        <w:rPr>
          <w:rFonts w:asciiTheme="minorEastAsia" w:hAnsiTheme="minorEastAsia" w:eastAsiaTheme="minorEastAsia"/>
          <w:highlight w:val="none"/>
        </w:rPr>
        <w:t>ETF</w:t>
      </w:r>
      <w:r>
        <w:rPr>
          <w:rFonts w:hint="eastAsia" w:asciiTheme="minorEastAsia" w:hAnsiTheme="minorEastAsia" w:eastAsiaTheme="minorEastAsia"/>
          <w:highlight w:val="none"/>
        </w:rPr>
        <w:t>的基金份额持有人大会的，须先遵照本基金基金合同的约定召开本基金的基金份额持有人大会，本基金的基金份额持有人大会决定提议召开或召集目标</w:t>
      </w:r>
      <w:r>
        <w:rPr>
          <w:rFonts w:asciiTheme="minorEastAsia" w:hAnsiTheme="minorEastAsia" w:eastAsiaTheme="minorEastAsia"/>
          <w:highlight w:val="none"/>
        </w:rPr>
        <w:t>ETF</w:t>
      </w:r>
      <w:r>
        <w:rPr>
          <w:rFonts w:hint="eastAsia" w:asciiTheme="minorEastAsia" w:hAnsiTheme="minorEastAsia" w:eastAsiaTheme="minorEastAsia"/>
          <w:highlight w:val="none"/>
        </w:rPr>
        <w:t>的基金份额持有人大会的，由本基金基金管理人代表本基金的基金份额持有人提议召开或召集目标</w:t>
      </w:r>
      <w:r>
        <w:rPr>
          <w:rFonts w:asciiTheme="minorEastAsia" w:hAnsiTheme="minorEastAsia" w:eastAsiaTheme="minorEastAsia"/>
          <w:highlight w:val="none"/>
        </w:rPr>
        <w:t>ETF</w:t>
      </w:r>
      <w:r>
        <w:rPr>
          <w:rFonts w:hint="eastAsia" w:asciiTheme="minorEastAsia" w:hAnsiTheme="minorEastAsia" w:eastAsiaTheme="minorEastAsia"/>
          <w:highlight w:val="none"/>
        </w:rPr>
        <w:t>的基金份额持有人大会。</w:t>
      </w:r>
    </w:p>
    <w:p w14:paraId="1364AA68">
      <w:pPr>
        <w:adjustRightInd w:val="0"/>
        <w:snapToGrid w:val="0"/>
        <w:spacing w:line="360" w:lineRule="auto"/>
        <w:rPr>
          <w:rFonts w:cs="Arial" w:asciiTheme="minorEastAsia" w:hAnsiTheme="minorEastAsia" w:eastAsiaTheme="minorEastAsia"/>
          <w:szCs w:val="21"/>
          <w:highlight w:val="none"/>
        </w:rPr>
      </w:pPr>
    </w:p>
    <w:p w14:paraId="3FC0F2F9">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3" w:type="default"/>
          <w:pgSz w:w="11906" w:h="16838"/>
          <w:pgMar w:top="1418" w:right="1701" w:bottom="1418" w:left="1701" w:header="851" w:footer="992" w:gutter="0"/>
          <w:pgNumType w:start="1"/>
          <w:cols w:space="425" w:num="1"/>
          <w:formProt w:val="0"/>
          <w:docGrid w:type="lines" w:linePitch="312" w:charSpace="0"/>
        </w:sectPr>
      </w:pPr>
      <w:bookmarkStart w:id="239" w:name="_Toc90742326"/>
      <w:bookmarkStart w:id="240" w:name="_Toc90742395"/>
    </w:p>
    <w:bookmarkEnd w:id="195"/>
    <w:p w14:paraId="5A6F5F6A">
      <w:pPr>
        <w:pStyle w:val="3"/>
        <w:adjustRightInd w:val="0"/>
        <w:snapToGrid w:val="0"/>
        <w:spacing w:before="312" w:beforeLines="100" w:after="0" w:line="360" w:lineRule="auto"/>
        <w:rPr>
          <w:rFonts w:asciiTheme="minorEastAsia" w:hAnsiTheme="minorEastAsia" w:eastAsiaTheme="minorEastAsia"/>
          <w:sz w:val="21"/>
          <w:highlight w:val="none"/>
        </w:rPr>
      </w:pPr>
      <w:bookmarkStart w:id="241" w:name="_Toc16237234"/>
      <w:bookmarkStart w:id="242" w:name="CLAUSE_43f1c9da63534698a495625d2f2bd805"/>
      <w:r>
        <w:rPr>
          <w:rFonts w:hint="eastAsia" w:cs="Arial" w:asciiTheme="minorEastAsia" w:hAnsiTheme="minorEastAsia" w:eastAsiaTheme="minorEastAsia"/>
          <w:sz w:val="21"/>
          <w:szCs w:val="21"/>
          <w:highlight w:val="none"/>
        </w:rPr>
        <w:t xml:space="preserve">第九部分 </w:t>
      </w:r>
      <w:bookmarkStart w:id="243" w:name="CTS_43f1c9da63534698a495625d2f2bd805"/>
      <w:bookmarkEnd w:id="243"/>
      <w:r>
        <w:rPr>
          <w:rFonts w:hint="eastAsia" w:asciiTheme="minorEastAsia" w:hAnsiTheme="minorEastAsia" w:eastAsiaTheme="minorEastAsia"/>
          <w:sz w:val="21"/>
          <w:highlight w:val="none"/>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52682C1">
      <w:pPr>
        <w:autoSpaceDE w:val="0"/>
        <w:autoSpaceDN w:val="0"/>
        <w:spacing w:line="360" w:lineRule="auto"/>
        <w:textAlignment w:val="bottom"/>
        <w:rPr>
          <w:rFonts w:asciiTheme="minorEastAsia" w:hAnsiTheme="minorEastAsia" w:eastAsiaTheme="minorEastAsia"/>
          <w:bCs/>
          <w:sz w:val="24"/>
          <w:highlight w:val="none"/>
        </w:rPr>
      </w:pPr>
      <w:bookmarkStart w:id="244" w:name="_Toc79392593"/>
      <w:bookmarkStart w:id="245" w:name="_Toc57530252"/>
      <w:bookmarkStart w:id="246" w:name="_Toc15118245"/>
    </w:p>
    <w:p w14:paraId="5AF3BD51">
      <w:pPr>
        <w:adjustRightInd w:val="0"/>
        <w:snapToGrid w:val="0"/>
        <w:spacing w:line="360" w:lineRule="auto"/>
        <w:ind w:firstLine="420" w:firstLineChars="200"/>
        <w:rPr>
          <w:rFonts w:asciiTheme="minorEastAsia" w:hAnsiTheme="minorEastAsia" w:eastAsiaTheme="minorEastAsia"/>
          <w:highlight w:val="none"/>
        </w:rPr>
      </w:pPr>
      <w:bookmarkStart w:id="247" w:name="_Hlk103616264"/>
      <w:r>
        <w:rPr>
          <w:rFonts w:hint="eastAsia" w:asciiTheme="minorEastAsia" w:hAnsiTheme="minorEastAsia" w:eastAsiaTheme="minorEastAsia"/>
          <w:highlight w:val="none"/>
        </w:rPr>
        <w:t>一、基金管理人和基金托管人职责终止的情形</w:t>
      </w:r>
      <w:bookmarkEnd w:id="244"/>
      <w:bookmarkEnd w:id="245"/>
      <w:bookmarkEnd w:id="246"/>
    </w:p>
    <w:p w14:paraId="0FA0C270">
      <w:pPr>
        <w:adjustRightInd w:val="0"/>
        <w:snapToGrid w:val="0"/>
        <w:spacing w:line="360" w:lineRule="auto"/>
        <w:ind w:firstLine="420" w:firstLineChars="200"/>
        <w:rPr>
          <w:rFonts w:asciiTheme="minorEastAsia" w:hAnsiTheme="minorEastAsia" w:eastAsiaTheme="minorEastAsia"/>
          <w:highlight w:val="none"/>
        </w:rPr>
      </w:pPr>
      <w:bookmarkStart w:id="248" w:name="_Toc22005971"/>
      <w:r>
        <w:rPr>
          <w:rFonts w:hint="eastAsia" w:asciiTheme="minorEastAsia" w:hAnsiTheme="minorEastAsia" w:eastAsiaTheme="minorEastAsia"/>
          <w:highlight w:val="none"/>
        </w:rPr>
        <w:t>（一）</w:t>
      </w:r>
      <w:r>
        <w:rPr>
          <w:rFonts w:asciiTheme="minorEastAsia" w:hAnsiTheme="minorEastAsia" w:eastAsiaTheme="minorEastAsia"/>
          <w:highlight w:val="none"/>
        </w:rPr>
        <w:tab/>
      </w:r>
      <w:r>
        <w:rPr>
          <w:rFonts w:hint="eastAsia" w:asciiTheme="minorEastAsia" w:hAnsiTheme="minorEastAsia" w:eastAsiaTheme="minorEastAsia"/>
          <w:highlight w:val="none"/>
        </w:rPr>
        <w:t>基金管理人职责终止的情形</w:t>
      </w:r>
      <w:bookmarkEnd w:id="248"/>
    </w:p>
    <w:p w14:paraId="60656E5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有下列情形之一的，基金管理人职责终止：</w:t>
      </w:r>
    </w:p>
    <w:p w14:paraId="7762C47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、被依法取消基金管理资格；</w:t>
      </w:r>
    </w:p>
    <w:p w14:paraId="18A9C49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、被基金份额持有人大会解任；</w:t>
      </w:r>
    </w:p>
    <w:p w14:paraId="05DBFD7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、依法解散、被依法撤销或被依法宣告破产；</w:t>
      </w:r>
    </w:p>
    <w:p w14:paraId="3E92CFE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、法律法规及中国证监会规定的和《基金合同》约定的其他情形。</w:t>
      </w:r>
    </w:p>
    <w:p w14:paraId="14C340E9">
      <w:pPr>
        <w:adjustRightInd w:val="0"/>
        <w:snapToGrid w:val="0"/>
        <w:spacing w:line="360" w:lineRule="auto"/>
        <w:ind w:firstLine="420" w:firstLineChars="200"/>
        <w:rPr>
          <w:rFonts w:asciiTheme="minorEastAsia" w:hAnsiTheme="minorEastAsia" w:eastAsiaTheme="minorEastAsia"/>
          <w:highlight w:val="none"/>
        </w:rPr>
      </w:pPr>
      <w:bookmarkStart w:id="249" w:name="_Toc22005972"/>
      <w:r>
        <w:rPr>
          <w:rFonts w:hint="eastAsia" w:asciiTheme="minorEastAsia" w:hAnsiTheme="minorEastAsia" w:eastAsiaTheme="minorEastAsia"/>
          <w:highlight w:val="none"/>
        </w:rPr>
        <w:t>（二）</w:t>
      </w:r>
      <w:r>
        <w:rPr>
          <w:rFonts w:asciiTheme="minorEastAsia" w:hAnsiTheme="minorEastAsia" w:eastAsiaTheme="minorEastAsia"/>
          <w:highlight w:val="none"/>
        </w:rPr>
        <w:tab/>
      </w:r>
      <w:r>
        <w:rPr>
          <w:rFonts w:hint="eastAsia" w:asciiTheme="minorEastAsia" w:hAnsiTheme="minorEastAsia" w:eastAsiaTheme="minorEastAsia"/>
          <w:highlight w:val="none"/>
        </w:rPr>
        <w:t>基金托管人职责终止的情形</w:t>
      </w:r>
      <w:bookmarkEnd w:id="249"/>
    </w:p>
    <w:p w14:paraId="4179ECF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有下列情形之一的，基金托管人职责终止：</w:t>
      </w:r>
    </w:p>
    <w:p w14:paraId="15B26BF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、被依法取消基金托管资格；</w:t>
      </w:r>
    </w:p>
    <w:p w14:paraId="6C0E027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、被基金份额持有人大会解任；</w:t>
      </w:r>
    </w:p>
    <w:p w14:paraId="032913D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、依法解散、被依法撤销或被依法宣告破产；</w:t>
      </w:r>
    </w:p>
    <w:p w14:paraId="2D280D3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、法律法规及中国证监会规定的和《基金合同》约定的其他情形。</w:t>
      </w:r>
    </w:p>
    <w:p w14:paraId="7942185A">
      <w:pPr>
        <w:adjustRightInd w:val="0"/>
        <w:snapToGrid w:val="0"/>
        <w:spacing w:line="360" w:lineRule="auto"/>
        <w:ind w:firstLine="420" w:firstLineChars="200"/>
        <w:rPr>
          <w:rFonts w:asciiTheme="minorEastAsia" w:hAnsiTheme="minorEastAsia" w:eastAsiaTheme="minorEastAsia"/>
          <w:highlight w:val="none"/>
        </w:rPr>
      </w:pPr>
      <w:bookmarkStart w:id="250" w:name="_Toc57530253"/>
      <w:bookmarkStart w:id="251" w:name="_Toc79392594"/>
      <w:bookmarkStart w:id="252" w:name="_Toc15118246"/>
      <w:r>
        <w:rPr>
          <w:rFonts w:hint="eastAsia" w:asciiTheme="minorEastAsia" w:hAnsiTheme="minorEastAsia" w:eastAsiaTheme="minorEastAsia"/>
          <w:highlight w:val="none"/>
        </w:rPr>
        <w:t>二、基金管理人和基金托管人的更换程序</w:t>
      </w:r>
      <w:bookmarkEnd w:id="250"/>
      <w:bookmarkEnd w:id="251"/>
      <w:bookmarkEnd w:id="252"/>
    </w:p>
    <w:p w14:paraId="70D886CA">
      <w:pPr>
        <w:adjustRightInd w:val="0"/>
        <w:snapToGrid w:val="0"/>
        <w:spacing w:line="360" w:lineRule="auto"/>
        <w:ind w:firstLine="420" w:firstLineChars="200"/>
        <w:rPr>
          <w:rFonts w:asciiTheme="minorEastAsia" w:hAnsiTheme="minorEastAsia" w:eastAsiaTheme="minorEastAsia"/>
          <w:highlight w:val="none"/>
        </w:rPr>
      </w:pPr>
      <w:bookmarkStart w:id="253" w:name="_Toc22005974"/>
      <w:r>
        <w:rPr>
          <w:rFonts w:hint="eastAsia" w:asciiTheme="minorEastAsia" w:hAnsiTheme="minorEastAsia" w:eastAsiaTheme="minorEastAsia"/>
          <w:highlight w:val="none"/>
        </w:rPr>
        <w:t>（一）</w:t>
      </w:r>
      <w:r>
        <w:rPr>
          <w:rFonts w:asciiTheme="minorEastAsia" w:hAnsiTheme="minorEastAsia" w:eastAsiaTheme="minorEastAsia"/>
          <w:highlight w:val="none"/>
        </w:rPr>
        <w:tab/>
      </w:r>
      <w:r>
        <w:rPr>
          <w:rFonts w:hint="eastAsia" w:asciiTheme="minorEastAsia" w:hAnsiTheme="minorEastAsia" w:eastAsiaTheme="minorEastAsia"/>
          <w:highlight w:val="none"/>
        </w:rPr>
        <w:t>基金管理人的更换程序</w:t>
      </w:r>
      <w:bookmarkEnd w:id="253"/>
    </w:p>
    <w:p w14:paraId="21A0F03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、提名：新任基金管理人由基金托管人或由单独或合计持有</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）基金份额的基金份额持有人提名；</w:t>
      </w:r>
    </w:p>
    <w:p w14:paraId="18E003E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、决议：基金份额持有人大会在基金管理人职责终止后</w:t>
      </w:r>
      <w:r>
        <w:rPr>
          <w:rFonts w:asciiTheme="minorEastAsia" w:hAnsiTheme="minorEastAsia" w:eastAsiaTheme="minorEastAsia"/>
          <w:highlight w:val="none"/>
        </w:rPr>
        <w:t>6</w:t>
      </w:r>
      <w:r>
        <w:rPr>
          <w:rFonts w:hint="eastAsia" w:asciiTheme="minorEastAsia" w:hAnsiTheme="minorEastAsia" w:eastAsiaTheme="minorEastAsia"/>
          <w:highlight w:val="none"/>
        </w:rPr>
        <w:t>个月内对被提名的基金管理人形成决议，该决议需经参加大会的基金份额持有人所持表决权的三分之二以上（含三分之二）表决通过</w:t>
      </w:r>
      <w:bookmarkStart w:id="254" w:name="_Hlk186896937"/>
      <w:r>
        <w:rPr>
          <w:rFonts w:hint="eastAsia" w:asciiTheme="minorEastAsia" w:hAnsiTheme="minorEastAsia" w:eastAsiaTheme="minorEastAsia"/>
          <w:highlight w:val="none"/>
        </w:rPr>
        <w:t>，决议自表决通过之日起生效</w:t>
      </w:r>
      <w:bookmarkEnd w:id="254"/>
      <w:r>
        <w:rPr>
          <w:rFonts w:hint="eastAsia" w:asciiTheme="minorEastAsia" w:hAnsiTheme="minorEastAsia" w:eastAsiaTheme="minorEastAsia"/>
          <w:highlight w:val="none"/>
        </w:rPr>
        <w:t>；</w:t>
      </w:r>
    </w:p>
    <w:p w14:paraId="5A6DDBB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、临时基金管理人：新任基金管理人产生之前，由中国证监会指定临时基金管理人；</w:t>
      </w:r>
    </w:p>
    <w:p w14:paraId="7EB2183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、备案：基金份额持有人大会更换基金管理人的决议须报中国证监会备案；</w:t>
      </w:r>
    </w:p>
    <w:p w14:paraId="17CA087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、公告：基金管理人更换后，由基金托管人在更换基金管理人的基金份额持有人大会决议生效后</w:t>
      </w:r>
      <w:bookmarkStart w:id="255" w:name="_Hlk186896956"/>
      <w:r>
        <w:rPr>
          <w:rFonts w:hint="eastAsia" w:asciiTheme="minorEastAsia" w:hAnsiTheme="minorEastAsia" w:eastAsiaTheme="minorEastAsia"/>
          <w:highlight w:val="none"/>
        </w:rPr>
        <w:t>按规定</w:t>
      </w:r>
      <w:bookmarkEnd w:id="255"/>
      <w:r>
        <w:rPr>
          <w:rFonts w:hint="eastAsia" w:asciiTheme="minorEastAsia" w:hAnsiTheme="minorEastAsia" w:eastAsiaTheme="minorEastAsia"/>
          <w:highlight w:val="none"/>
        </w:rPr>
        <w:t>在规定媒介公告；</w:t>
      </w:r>
    </w:p>
    <w:p w14:paraId="4FEBDC8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w:t>
      </w:r>
      <w:bookmarkStart w:id="256" w:name="_Hlk186896989"/>
      <w:r>
        <w:rPr>
          <w:rFonts w:hint="eastAsia" w:asciiTheme="minorEastAsia" w:hAnsiTheme="minorEastAsia" w:eastAsiaTheme="minorEastAsia"/>
          <w:highlight w:val="none"/>
        </w:rPr>
        <w:t>基金资产总值和净值</w:t>
      </w:r>
      <w:bookmarkEnd w:id="256"/>
      <w:r>
        <w:rPr>
          <w:rFonts w:hint="eastAsia" w:asciiTheme="minorEastAsia" w:hAnsiTheme="minorEastAsia" w:eastAsiaTheme="minorEastAsia"/>
          <w:highlight w:val="none"/>
        </w:rPr>
        <w:t>；</w:t>
      </w:r>
    </w:p>
    <w:p w14:paraId="41536FF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、审计：基金管理人职责终止的，应当按照法律法规规定聘请会计师事务所对基金财产进行审计，并将审计结果予以公告，同时报中国证监会备案</w:t>
      </w:r>
      <w:bookmarkStart w:id="257" w:name="_Hlk186897008"/>
      <w:r>
        <w:rPr>
          <w:rFonts w:hint="eastAsia" w:asciiTheme="minorEastAsia" w:hAnsiTheme="minorEastAsia" w:eastAsiaTheme="minorEastAsia"/>
          <w:highlight w:val="none"/>
        </w:rPr>
        <w:t>，审计费用由基金财产承担</w:t>
      </w:r>
      <w:bookmarkEnd w:id="257"/>
      <w:r>
        <w:rPr>
          <w:rFonts w:hint="eastAsia" w:asciiTheme="minorEastAsia" w:hAnsiTheme="minorEastAsia" w:eastAsiaTheme="minorEastAsia"/>
          <w:highlight w:val="none"/>
        </w:rPr>
        <w:t>；</w:t>
      </w:r>
    </w:p>
    <w:p w14:paraId="61DD29D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8</w:t>
      </w:r>
      <w:r>
        <w:rPr>
          <w:rFonts w:hint="eastAsia" w:asciiTheme="minorEastAsia" w:hAnsiTheme="minorEastAsia" w:eastAsiaTheme="minorEastAsia"/>
          <w:highlight w:val="none"/>
        </w:rPr>
        <w:t>、基金名称变更：基金管理人更换后，如果原任或新任基金管理人要求，应按其要求替换或删除基金名称中与原基金管理人有关的名称字样。</w:t>
      </w:r>
    </w:p>
    <w:p w14:paraId="4FEB8835">
      <w:pPr>
        <w:adjustRightInd w:val="0"/>
        <w:snapToGrid w:val="0"/>
        <w:spacing w:line="360" w:lineRule="auto"/>
        <w:ind w:firstLine="420" w:firstLineChars="200"/>
        <w:rPr>
          <w:rFonts w:asciiTheme="minorEastAsia" w:hAnsiTheme="minorEastAsia" w:eastAsiaTheme="minorEastAsia"/>
          <w:highlight w:val="none"/>
        </w:rPr>
      </w:pPr>
      <w:bookmarkStart w:id="258" w:name="_Toc22005975"/>
      <w:r>
        <w:rPr>
          <w:rFonts w:hint="eastAsia" w:asciiTheme="minorEastAsia" w:hAnsiTheme="minorEastAsia" w:eastAsiaTheme="minorEastAsia"/>
          <w:highlight w:val="none"/>
        </w:rPr>
        <w:t>（二）</w:t>
      </w:r>
      <w:r>
        <w:rPr>
          <w:rFonts w:asciiTheme="minorEastAsia" w:hAnsiTheme="minorEastAsia" w:eastAsiaTheme="minorEastAsia"/>
          <w:highlight w:val="none"/>
        </w:rPr>
        <w:tab/>
      </w:r>
      <w:r>
        <w:rPr>
          <w:rFonts w:hint="eastAsia" w:asciiTheme="minorEastAsia" w:hAnsiTheme="minorEastAsia" w:eastAsiaTheme="minorEastAsia"/>
          <w:highlight w:val="none"/>
        </w:rPr>
        <w:t>基金托管人的更换程序</w:t>
      </w:r>
      <w:bookmarkEnd w:id="258"/>
    </w:p>
    <w:p w14:paraId="1DBF5B2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、提名：新任基金托管人由基金管理人或由单独或合计持有</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）基金份额的基金份额持有人提名；</w:t>
      </w:r>
    </w:p>
    <w:p w14:paraId="6E3D88D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、决议：基金份额持有人大会在基金托管人职责终止后</w:t>
      </w:r>
      <w:r>
        <w:rPr>
          <w:rFonts w:asciiTheme="minorEastAsia" w:hAnsiTheme="minorEastAsia" w:eastAsiaTheme="minorEastAsia"/>
          <w:highlight w:val="none"/>
        </w:rPr>
        <w:t>6</w:t>
      </w:r>
      <w:r>
        <w:rPr>
          <w:rFonts w:hint="eastAsia" w:asciiTheme="minorEastAsia" w:hAnsiTheme="minorEastAsia" w:eastAsiaTheme="minorEastAsia"/>
          <w:highlight w:val="none"/>
        </w:rPr>
        <w:t>个月内对被提名的基金托管人形成决议，该决议需经参加大会的基金份额持有人所持表决权的三分之二以上（含三分之二）表决通过</w:t>
      </w:r>
      <w:bookmarkStart w:id="259" w:name="_Hlk186897053"/>
      <w:r>
        <w:rPr>
          <w:rFonts w:hint="eastAsia" w:asciiTheme="minorEastAsia" w:hAnsiTheme="minorEastAsia" w:eastAsiaTheme="minorEastAsia"/>
          <w:highlight w:val="none"/>
        </w:rPr>
        <w:t>，决议自表决通过之日起生效</w:t>
      </w:r>
      <w:bookmarkEnd w:id="259"/>
      <w:r>
        <w:rPr>
          <w:rFonts w:hint="eastAsia" w:asciiTheme="minorEastAsia" w:hAnsiTheme="minorEastAsia" w:eastAsiaTheme="minorEastAsia"/>
          <w:highlight w:val="none"/>
        </w:rPr>
        <w:t>；</w:t>
      </w:r>
    </w:p>
    <w:p w14:paraId="06934FE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、临时基金托管人：新任基金托管人产生之前，由中国证监会指定临时基金托管人；</w:t>
      </w:r>
    </w:p>
    <w:p w14:paraId="08FC11A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、备案：基金份额持有人大会更换基金托管人的决议须报中国证监会备案；</w:t>
      </w:r>
    </w:p>
    <w:p w14:paraId="28D4558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、公告：基金托管人更换后，由基金管理人在更换基金托管人的基金份额持有人大会决议生效后</w:t>
      </w:r>
      <w:bookmarkStart w:id="260" w:name="_Hlk186897105"/>
      <w:r>
        <w:rPr>
          <w:rFonts w:hint="eastAsia" w:asciiTheme="minorEastAsia" w:hAnsiTheme="minorEastAsia" w:eastAsiaTheme="minorEastAsia"/>
          <w:highlight w:val="none"/>
        </w:rPr>
        <w:t>按规定</w:t>
      </w:r>
      <w:bookmarkEnd w:id="260"/>
      <w:r>
        <w:rPr>
          <w:rFonts w:hint="eastAsia" w:asciiTheme="minorEastAsia" w:hAnsiTheme="minorEastAsia" w:eastAsiaTheme="minorEastAsia"/>
          <w:highlight w:val="none"/>
        </w:rPr>
        <w:t>在规定媒介公告；</w:t>
      </w:r>
    </w:p>
    <w:p w14:paraId="7BA873D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r>
        <w:rPr>
          <w:rFonts w:asciiTheme="minorEastAsia" w:hAnsiTheme="minorEastAsia" w:eastAsiaTheme="minorEastAsia"/>
          <w:highlight w:val="none"/>
        </w:rPr>
        <w:t xml:space="preserve"> </w:t>
      </w:r>
    </w:p>
    <w:p w14:paraId="5C78CA9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、审计：基金托管人职责终止的，应当按照法律法规规定聘请会计师事务所对基金财产进行审计，并将审计结果予以公告，同时报中国证监会备案，审计费用由基金财产承担。</w:t>
      </w:r>
    </w:p>
    <w:p w14:paraId="1C958E8A">
      <w:pPr>
        <w:adjustRightInd w:val="0"/>
        <w:snapToGrid w:val="0"/>
        <w:spacing w:line="360" w:lineRule="auto"/>
        <w:ind w:firstLine="420" w:firstLineChars="200"/>
        <w:rPr>
          <w:rFonts w:asciiTheme="minorEastAsia" w:hAnsiTheme="minorEastAsia" w:eastAsiaTheme="minorEastAsia"/>
          <w:highlight w:val="none"/>
        </w:rPr>
      </w:pPr>
      <w:bookmarkStart w:id="261" w:name="_Toc1357"/>
      <w:r>
        <w:rPr>
          <w:rFonts w:hint="eastAsia" w:asciiTheme="minorEastAsia" w:hAnsiTheme="minorEastAsia" w:eastAsiaTheme="minorEastAsia"/>
          <w:highlight w:val="none"/>
        </w:rPr>
        <w:t>（三）基金管理人与基金托管人同时更换的条件和程序</w:t>
      </w:r>
      <w:bookmarkEnd w:id="261"/>
    </w:p>
    <w:p w14:paraId="21F8709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、提名：如果基金管理人和基金托管人同时更换，由单独或合计持有基金总份额</w:t>
      </w:r>
      <w:r>
        <w:rPr>
          <w:rFonts w:asciiTheme="minorEastAsia" w:hAnsiTheme="minorEastAsia" w:eastAsiaTheme="minorEastAsia"/>
          <w:highlight w:val="none"/>
        </w:rPr>
        <w:t>10%</w:t>
      </w:r>
      <w:r>
        <w:rPr>
          <w:rFonts w:hint="eastAsia" w:asciiTheme="minorEastAsia" w:hAnsiTheme="minorEastAsia" w:eastAsiaTheme="minorEastAsia"/>
          <w:highlight w:val="none"/>
        </w:rPr>
        <w:t>以上（含</w:t>
      </w:r>
      <w:r>
        <w:rPr>
          <w:rFonts w:asciiTheme="minorEastAsia" w:hAnsiTheme="minorEastAsia" w:eastAsiaTheme="minorEastAsia"/>
          <w:highlight w:val="none"/>
        </w:rPr>
        <w:t>10%</w:t>
      </w:r>
      <w:r>
        <w:rPr>
          <w:rFonts w:hint="eastAsia" w:asciiTheme="minorEastAsia" w:hAnsiTheme="minorEastAsia" w:eastAsiaTheme="minorEastAsia"/>
          <w:highlight w:val="none"/>
        </w:rPr>
        <w:t>）的基金份额持有人提名新的基金管理人和基金托管人；</w:t>
      </w:r>
    </w:p>
    <w:p w14:paraId="3E357F7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、基金管理人和基金托管人的更换分别按上述程序进行；</w:t>
      </w:r>
    </w:p>
    <w:p w14:paraId="3944C94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、公告：新任基金管理人和新任基金托管人应在更换基金管理人和基金托管人的基金份额持有人大会决议生效后按规定在规定媒介上联合公告。</w:t>
      </w:r>
    </w:p>
    <w:p w14:paraId="47738EA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6493054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bookmarkEnd w:id="247"/>
    <w:p w14:paraId="07805891">
      <w:pPr>
        <w:adjustRightInd w:val="0"/>
        <w:snapToGrid w:val="0"/>
        <w:spacing w:line="360" w:lineRule="auto"/>
        <w:rPr>
          <w:rFonts w:cs="Arial" w:asciiTheme="minorEastAsia" w:hAnsiTheme="minorEastAsia" w:eastAsiaTheme="minorEastAsia"/>
          <w:szCs w:val="21"/>
          <w:highlight w:val="none"/>
        </w:rPr>
      </w:pPr>
    </w:p>
    <w:bookmarkEnd w:id="242"/>
    <w:p w14:paraId="0A847631">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4" w:type="default"/>
          <w:pgSz w:w="11906" w:h="16838"/>
          <w:pgMar w:top="1418" w:right="1701" w:bottom="1418" w:left="1701" w:header="851" w:footer="992" w:gutter="0"/>
          <w:pgNumType w:start="1"/>
          <w:cols w:space="425" w:num="1"/>
          <w:formProt w:val="0"/>
          <w:docGrid w:type="lines" w:linePitch="312" w:charSpace="0"/>
        </w:sectPr>
      </w:pPr>
    </w:p>
    <w:p w14:paraId="116BB32C">
      <w:pPr>
        <w:pStyle w:val="3"/>
        <w:adjustRightInd w:val="0"/>
        <w:snapToGrid w:val="0"/>
        <w:spacing w:before="312" w:beforeLines="100" w:after="0" w:line="360" w:lineRule="auto"/>
        <w:rPr>
          <w:rFonts w:asciiTheme="minorEastAsia" w:hAnsiTheme="minorEastAsia" w:eastAsiaTheme="minorEastAsia"/>
          <w:sz w:val="21"/>
          <w:highlight w:val="none"/>
        </w:rPr>
      </w:pPr>
      <w:bookmarkStart w:id="262" w:name="_Toc16237235"/>
      <w:r>
        <w:rPr>
          <w:rFonts w:hint="eastAsia" w:cs="Arial" w:asciiTheme="minorEastAsia" w:hAnsiTheme="minorEastAsia" w:eastAsiaTheme="minorEastAsia"/>
          <w:sz w:val="21"/>
          <w:szCs w:val="21"/>
          <w:highlight w:val="none"/>
        </w:rPr>
        <w:t xml:space="preserve">第十部分 </w:t>
      </w:r>
      <w:bookmarkStart w:id="263" w:name="CTS_f249a802b1844aff89a424f58a928bf5"/>
      <w:bookmarkEnd w:id="263"/>
      <w:r>
        <w:rPr>
          <w:rFonts w:hint="eastAsia" w:asciiTheme="minorEastAsia" w:hAnsiTheme="minorEastAsia" w:eastAsiaTheme="minorEastAsia"/>
          <w:sz w:val="21"/>
          <w:highlight w:val="none"/>
        </w:rPr>
        <w:t>基金的托管</w:t>
      </w:r>
      <w:bookmarkEnd w:id="262"/>
    </w:p>
    <w:p w14:paraId="7E724C28">
      <w:pPr>
        <w:adjustRightInd w:val="0"/>
        <w:snapToGrid w:val="0"/>
        <w:spacing w:line="360" w:lineRule="auto"/>
        <w:ind w:firstLine="420" w:firstLineChars="200"/>
        <w:rPr>
          <w:rFonts w:asciiTheme="minorEastAsia" w:hAnsiTheme="minorEastAsia" w:eastAsiaTheme="minorEastAsia"/>
          <w:highlight w:val="none"/>
        </w:rPr>
      </w:pPr>
    </w:p>
    <w:p w14:paraId="47B3403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w:t>
      </w:r>
      <w:r>
        <w:rPr>
          <w:rFonts w:asciiTheme="minorEastAsia" w:hAnsiTheme="minorEastAsia" w:eastAsiaTheme="minorEastAsia"/>
          <w:highlight w:val="none"/>
        </w:rPr>
        <w:t>人</w:t>
      </w:r>
      <w:r>
        <w:rPr>
          <w:rFonts w:hint="eastAsia" w:asciiTheme="minorEastAsia" w:hAnsiTheme="minorEastAsia" w:eastAsiaTheme="minorEastAsia"/>
          <w:highlight w:val="none"/>
        </w:rPr>
        <w:t>和</w:t>
      </w:r>
      <w:r>
        <w:rPr>
          <w:rFonts w:asciiTheme="minorEastAsia" w:hAnsiTheme="minorEastAsia" w:eastAsiaTheme="minorEastAsia"/>
          <w:highlight w:val="none"/>
        </w:rPr>
        <w:t>基金</w:t>
      </w:r>
      <w:r>
        <w:rPr>
          <w:rFonts w:hint="eastAsia" w:asciiTheme="minorEastAsia" w:hAnsiTheme="minorEastAsia" w:eastAsiaTheme="minorEastAsia"/>
          <w:highlight w:val="none"/>
        </w:rPr>
        <w:t>管理人按照《基金法》、《</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w:t>
      </w:r>
      <w:r>
        <w:rPr>
          <w:rFonts w:asciiTheme="minorEastAsia" w:hAnsiTheme="minorEastAsia" w:eastAsiaTheme="minorEastAsia"/>
          <w:highlight w:val="none"/>
        </w:rPr>
        <w:t>及</w:t>
      </w:r>
      <w:r>
        <w:rPr>
          <w:rFonts w:hint="eastAsia" w:asciiTheme="minorEastAsia" w:hAnsiTheme="minorEastAsia" w:eastAsiaTheme="minorEastAsia"/>
          <w:highlight w:val="none"/>
        </w:rPr>
        <w:t>其他有关规定订立</w:t>
      </w:r>
      <w:r>
        <w:rPr>
          <w:rFonts w:asciiTheme="minorEastAsia" w:hAnsiTheme="minorEastAsia" w:eastAsiaTheme="minorEastAsia"/>
          <w:highlight w:val="none"/>
        </w:rPr>
        <w:t>托管协议。</w:t>
      </w:r>
    </w:p>
    <w:p w14:paraId="2332108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bookmarkStart w:id="264" w:name="_Toc31469"/>
      <w:bookmarkStart w:id="265" w:name="_Toc2255"/>
      <w:bookmarkStart w:id="266" w:name="_Toc3244"/>
      <w:bookmarkStart w:id="267" w:name="_Toc139991741"/>
      <w:bookmarkStart w:id="268" w:name="_Toc19520"/>
      <w:bookmarkStart w:id="269" w:name="_Toc26084"/>
      <w:bookmarkStart w:id="270" w:name="_Toc141703891"/>
      <w:bookmarkStart w:id="271" w:name="_Toc123051457"/>
      <w:bookmarkStart w:id="272" w:name="_Toc14725"/>
      <w:bookmarkStart w:id="273" w:name="_Toc98560357"/>
      <w:bookmarkStart w:id="274" w:name="_Toc26383"/>
      <w:bookmarkStart w:id="275" w:name="_Toc123102458"/>
      <w:bookmarkStart w:id="276" w:name="_Toc26152"/>
      <w:bookmarkStart w:id="277" w:name="_Toc123112239"/>
      <w:bookmarkStart w:id="278" w:name="_Toc22674"/>
      <w:bookmarkStart w:id="279" w:name="_Toc21886"/>
      <w:bookmarkStart w:id="280" w:name="_Toc16789"/>
      <w:bookmarkStart w:id="281" w:name="_Toc48649710"/>
      <w:bookmarkStart w:id="282" w:name="_Toc79392624"/>
    </w:p>
    <w:p w14:paraId="4242CE63">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5" w:type="default"/>
          <w:pgSz w:w="11906" w:h="16838"/>
          <w:pgMar w:top="1418" w:right="1701" w:bottom="1418" w:left="1701" w:header="851" w:footer="992" w:gutter="0"/>
          <w:pgNumType w:start="1"/>
          <w:cols w:space="425" w:num="1"/>
          <w:formProt w:val="0"/>
          <w:docGrid w:type="lines" w:linePitch="312" w:charSpace="0"/>
        </w:sectPr>
      </w:pPr>
      <w:bookmarkStart w:id="283" w:name="_Toc90742328"/>
      <w:bookmarkStart w:id="284" w:name="_Toc36792665"/>
      <w:bookmarkStart w:id="285" w:name="_Toc520693892"/>
      <w:bookmarkStart w:id="286" w:name="_Toc90742397"/>
      <w:bookmarkStart w:id="287" w:name="_Toc88376147"/>
      <w:bookmarkStart w:id="288" w:name="_Toc56568455"/>
      <w:bookmarkStart w:id="289" w:name="_Toc34450839"/>
      <w:bookmarkStart w:id="290" w:name="_Toc520693794"/>
    </w:p>
    <w:p w14:paraId="112B2F71">
      <w:pPr>
        <w:pStyle w:val="3"/>
        <w:adjustRightInd w:val="0"/>
        <w:snapToGrid w:val="0"/>
        <w:spacing w:before="312" w:beforeLines="100" w:after="0" w:line="360" w:lineRule="auto"/>
        <w:rPr>
          <w:rFonts w:asciiTheme="minorEastAsia" w:hAnsiTheme="minorEastAsia" w:eastAsiaTheme="minorEastAsia"/>
          <w:sz w:val="21"/>
          <w:highlight w:val="none"/>
        </w:rPr>
      </w:pPr>
      <w:bookmarkStart w:id="291" w:name="_Toc16237236"/>
      <w:bookmarkStart w:id="292" w:name="CLAUSE_7559614905c249a4930bb10b639777df"/>
      <w:r>
        <w:rPr>
          <w:rFonts w:hint="eastAsia" w:cs="Arial" w:asciiTheme="minorEastAsia" w:hAnsiTheme="minorEastAsia" w:eastAsiaTheme="minorEastAsia"/>
          <w:sz w:val="21"/>
          <w:szCs w:val="21"/>
          <w:highlight w:val="none"/>
        </w:rPr>
        <w:t xml:space="preserve">第十一部分 </w:t>
      </w:r>
      <w:bookmarkStart w:id="293" w:name="CTS_7559614905c249a4930bb10b639777df"/>
      <w:bookmarkEnd w:id="293"/>
      <w:r>
        <w:rPr>
          <w:rFonts w:hint="eastAsia" w:asciiTheme="minorEastAsia" w:hAnsiTheme="minorEastAsia" w:eastAsiaTheme="minorEastAsia"/>
          <w:sz w:val="21"/>
          <w:highlight w:val="none"/>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6B3C05E">
      <w:pPr>
        <w:autoSpaceDE w:val="0"/>
        <w:autoSpaceDN w:val="0"/>
        <w:spacing w:line="360" w:lineRule="auto"/>
        <w:textAlignment w:val="bottom"/>
        <w:rPr>
          <w:rFonts w:asciiTheme="minorEastAsia" w:hAnsiTheme="minorEastAsia" w:eastAsiaTheme="minorEastAsia"/>
          <w:bCs/>
          <w:sz w:val="24"/>
          <w:highlight w:val="none"/>
        </w:rPr>
      </w:pPr>
    </w:p>
    <w:p w14:paraId="18B6326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一、基金份额的登记业务</w:t>
      </w:r>
    </w:p>
    <w:p w14:paraId="2AB9870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EB5013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二、基金登记业务办理机构</w:t>
      </w:r>
    </w:p>
    <w:p w14:paraId="427A3E6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本基金的登记业务由基金管理人或基金管理人委托的其他符合条件的机构办理</w:t>
      </w:r>
      <w:r>
        <w:rPr>
          <w:rFonts w:hint="eastAsia" w:asciiTheme="minorEastAsia" w:hAnsiTheme="minorEastAsia" w:eastAsiaTheme="minorEastAsia"/>
          <w:sz w:val="21"/>
          <w:highlight w:val="none"/>
        </w:rPr>
        <w:t>，</w:t>
      </w:r>
      <w:r>
        <w:rPr>
          <w:rFonts w:hint="eastAsia" w:asciiTheme="minorEastAsia" w:hAnsiTheme="minorEastAsia" w:eastAsiaTheme="minorEastAsia"/>
          <w:bCs w:val="0"/>
          <w:sz w:val="21"/>
          <w:highlight w:val="none"/>
        </w:rPr>
        <w:t>但基金管理人依法应承担的责任不因委托而免除</w:t>
      </w:r>
      <w:r>
        <w:rPr>
          <w:rFonts w:hint="eastAsia" w:asciiTheme="minorEastAsia" w:hAnsiTheme="minorEastAsia" w:eastAsiaTheme="minorEastAsia"/>
          <w:highlight w:val="none"/>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EF76B6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三、基金登记机构的权利</w:t>
      </w:r>
      <w:bookmarkStart w:id="294" w:name="_Hlt88820748"/>
      <w:bookmarkEnd w:id="294"/>
    </w:p>
    <w:p w14:paraId="0BC2885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基金登记机构享有以下权利：</w:t>
      </w:r>
    </w:p>
    <w:p w14:paraId="3E8C65B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、取得登记费；</w:t>
      </w:r>
    </w:p>
    <w:p w14:paraId="4DE680F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、建立和管理投资者相关账户；</w:t>
      </w:r>
    </w:p>
    <w:p w14:paraId="357C23E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、保管基金份额持有人开户资料、交易资料、基金份额持有人名册等；</w:t>
      </w:r>
    </w:p>
    <w:p w14:paraId="5993303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、在法律法规允许的范围内，对登记业务的办理时间进行调整，并依照有关规定于开始实施前在规定媒介上公告；</w:t>
      </w:r>
    </w:p>
    <w:p w14:paraId="19BA5C4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、法律法规及中国证监会规定的和《基金合同》约定的其他权利。</w:t>
      </w:r>
    </w:p>
    <w:p w14:paraId="75904C3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四、基金登记机构的义务</w:t>
      </w:r>
    </w:p>
    <w:p w14:paraId="06E393D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基金登记机构承担以下义务：</w:t>
      </w:r>
    </w:p>
    <w:p w14:paraId="11E9486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、配备足够的专业人员办理本基金份额的登记业务；</w:t>
      </w:r>
    </w:p>
    <w:p w14:paraId="6B28157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、严格按照法律法规和《基金合同》规定的条件办理本基金份额的登记业务；</w:t>
      </w:r>
    </w:p>
    <w:p w14:paraId="061D5C3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、妥善保存登记数据，并将基金份额持有人名称、身份信息及基金份额明细等数据备份至中国证监会认定的机构。其保存期限不得少于法律法规规定的最低年限</w:t>
      </w:r>
      <w:r>
        <w:rPr>
          <w:rFonts w:asciiTheme="minorEastAsia" w:hAnsiTheme="minorEastAsia" w:eastAsiaTheme="minorEastAsia"/>
          <w:highlight w:val="none"/>
        </w:rPr>
        <w:t>；</w:t>
      </w:r>
    </w:p>
    <w:p w14:paraId="468DB81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对基金份额持有人的相关账户信息负有保密义务，因违反该保密义务对投资者或基金带来的损失，须承担相应的赔偿责任，但司法强制检查情形及法律法规及中国证监会规定的和《基金合同》约定的其他情形除外；</w:t>
      </w:r>
    </w:p>
    <w:p w14:paraId="3DA0049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、按《基金合同》及招募说明书规定为投资者办理非交易过户业务、提供其他必要的服务；</w:t>
      </w:r>
    </w:p>
    <w:p w14:paraId="005239F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、接受基金管理人的监督；</w:t>
      </w:r>
    </w:p>
    <w:p w14:paraId="327B2F0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、法律法规及中国证监会规定的和《基金合同》约定的其他义务。</w:t>
      </w:r>
    </w:p>
    <w:p w14:paraId="66B4032D">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6" w:type="default"/>
          <w:pgSz w:w="11906" w:h="16838"/>
          <w:pgMar w:top="1418" w:right="1701" w:bottom="1418" w:left="1701" w:header="851" w:footer="992" w:gutter="0"/>
          <w:pgNumType w:start="1"/>
          <w:cols w:space="425" w:num="1"/>
          <w:formProt w:val="0"/>
          <w:docGrid w:type="lines" w:linePitch="312" w:charSpace="0"/>
        </w:sectPr>
      </w:pPr>
      <w:bookmarkStart w:id="295" w:name="_Toc22538"/>
      <w:bookmarkStart w:id="296" w:name="_Toc3872"/>
      <w:bookmarkStart w:id="297" w:name="_Toc578"/>
      <w:bookmarkStart w:id="298" w:name="_Toc11351"/>
      <w:bookmarkStart w:id="299" w:name="_Toc2981"/>
      <w:bookmarkStart w:id="300" w:name="_Toc13343"/>
      <w:bookmarkStart w:id="301" w:name="_Toc11395"/>
      <w:bookmarkStart w:id="302" w:name="_Toc801"/>
      <w:bookmarkStart w:id="303" w:name="_Toc90742329"/>
      <w:bookmarkStart w:id="304" w:name="_Toc5477"/>
      <w:bookmarkStart w:id="305" w:name="_Toc90742398"/>
      <w:bookmarkStart w:id="306" w:name="_Toc21917"/>
      <w:bookmarkStart w:id="307" w:name="_Toc16437"/>
    </w:p>
    <w:bookmarkEnd w:id="292"/>
    <w:p w14:paraId="4D60D114">
      <w:pPr>
        <w:pStyle w:val="3"/>
        <w:adjustRightInd w:val="0"/>
        <w:snapToGrid w:val="0"/>
        <w:spacing w:before="312" w:beforeLines="100" w:after="0" w:line="360" w:lineRule="auto"/>
        <w:rPr>
          <w:rFonts w:asciiTheme="minorEastAsia" w:hAnsiTheme="minorEastAsia" w:eastAsiaTheme="minorEastAsia"/>
          <w:sz w:val="21"/>
          <w:highlight w:val="none"/>
        </w:rPr>
      </w:pPr>
      <w:bookmarkStart w:id="308" w:name="_Toc16237237"/>
      <w:bookmarkStart w:id="309" w:name="CLAUSE_192634c22c8249988cce0f7a4de97503"/>
      <w:bookmarkStart w:id="310" w:name="_Hlk161320974"/>
      <w:r>
        <w:rPr>
          <w:rFonts w:hint="eastAsia" w:cs="Arial" w:asciiTheme="minorEastAsia" w:hAnsiTheme="minorEastAsia" w:eastAsiaTheme="minorEastAsia"/>
          <w:sz w:val="21"/>
          <w:szCs w:val="21"/>
          <w:highlight w:val="none"/>
        </w:rPr>
        <w:t xml:space="preserve">第十二部分 </w:t>
      </w:r>
      <w:bookmarkStart w:id="311" w:name="CTS_192634c22c8249988cce0f7a4de97503"/>
      <w:bookmarkEnd w:id="311"/>
      <w:r>
        <w:rPr>
          <w:rFonts w:hint="eastAsia" w:asciiTheme="minorEastAsia" w:hAnsiTheme="minorEastAsia" w:eastAsiaTheme="minorEastAsia"/>
          <w:sz w:val="21"/>
          <w:highlight w:val="none"/>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8AA8FB0">
      <w:pPr>
        <w:spacing w:line="360" w:lineRule="auto"/>
        <w:ind w:firstLine="480" w:firstLineChars="200"/>
        <w:rPr>
          <w:rFonts w:asciiTheme="minorEastAsia" w:hAnsiTheme="minorEastAsia" w:eastAsiaTheme="minorEastAsia"/>
          <w:bCs/>
          <w:sz w:val="24"/>
          <w:highlight w:val="none"/>
        </w:rPr>
      </w:pPr>
    </w:p>
    <w:p w14:paraId="7EBF162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一、投资目标</w:t>
      </w:r>
    </w:p>
    <w:p w14:paraId="0E113619">
      <w:pPr>
        <w:adjustRightInd w:val="0"/>
        <w:snapToGrid w:val="0"/>
        <w:spacing w:line="360" w:lineRule="auto"/>
        <w:ind w:firstLine="420" w:firstLineChars="200"/>
        <w:rPr>
          <w:rFonts w:asciiTheme="minorEastAsia" w:hAnsiTheme="minorEastAsia" w:eastAsiaTheme="minorEastAsia"/>
          <w:highlight w:val="none"/>
        </w:rPr>
      </w:pPr>
      <w:r>
        <w:rPr>
          <w:rFonts w:hint="eastAsia" w:ascii="Arial" w:hAnsi="宋体" w:cs="Arial" w:eastAsiaTheme="minorEastAsia"/>
          <w:szCs w:val="21"/>
          <w:highlight w:val="none"/>
        </w:rPr>
        <w:t>通过主要投资于目标ETF，紧密跟踪标的指数即中证金融科技主题指数的表现，追求跟踪偏离度和跟踪误差的最小化。</w:t>
      </w:r>
    </w:p>
    <w:p w14:paraId="4298BC0B">
      <w:pPr>
        <w:adjustRightInd w:val="0"/>
        <w:snapToGrid w:val="0"/>
        <w:spacing w:line="360" w:lineRule="auto"/>
        <w:ind w:firstLine="420" w:firstLineChars="200"/>
        <w:rPr>
          <w:rFonts w:asciiTheme="minorEastAsia" w:hAnsiTheme="minorEastAsia" w:eastAsiaTheme="minorEastAsia"/>
          <w:highlight w:val="none"/>
        </w:rPr>
      </w:pPr>
      <w:bookmarkStart w:id="312" w:name="_Hlk186895083"/>
      <w:r>
        <w:rPr>
          <w:rFonts w:hint="eastAsia" w:asciiTheme="minorEastAsia" w:hAnsiTheme="minorEastAsia" w:eastAsiaTheme="minorEastAsia"/>
          <w:highlight w:val="none"/>
        </w:rPr>
        <w:t>二、投资范围</w:t>
      </w:r>
    </w:p>
    <w:p w14:paraId="4FA3AA31">
      <w:pPr>
        <w:adjustRightInd w:val="0"/>
        <w:snapToGrid w:val="0"/>
        <w:spacing w:line="360" w:lineRule="auto"/>
        <w:ind w:firstLine="420" w:firstLineChars="200"/>
        <w:rPr>
          <w:rFonts w:asciiTheme="minorEastAsia" w:hAnsiTheme="minorEastAsia" w:eastAsiaTheme="minorEastAsia"/>
          <w:highlight w:val="none"/>
        </w:rPr>
      </w:pPr>
      <w:bookmarkStart w:id="313" w:name="_Hlk160725666"/>
      <w:r>
        <w:rPr>
          <w:rFonts w:hint="eastAsia" w:asciiTheme="minorEastAsia" w:hAnsiTheme="minorEastAsia" w:eastAsiaTheme="minorEastAsia"/>
          <w:highlight w:val="none"/>
        </w:rPr>
        <w:t>本基金主要投资于目标ETF、标的指数即中证金融科技主题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府支持债券、可转换债券（含可分离交易可转债券）、可交换债券、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14:paraId="5DEB0EE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本基金可根据法律法规的规定参与融资及转融通证券出借业务。如法律法规或监管机构以后允许基金投资其他品种，基金管理人在履行适当程序后，可以将其纳入投资范围。</w:t>
      </w:r>
    </w:p>
    <w:p w14:paraId="44E77D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投资于目标ETF的资产比例不低于基金资产净值的90%，且不低于非现金基金资产的80%；每个交易日日终在扣除国债期货、股指期货和股票期权合约需缴纳的交易保证金后，对现金或者到期日在一年以内的政府债券的投资比例不低于基金资产净值的5%，其中，现金不包括结算备付金、存出保证金、应收申购款等。国债期货、股指期货、股票期权及其他金融工具的投资比例依照法律法规或监管机构的规定执行。</w:t>
      </w:r>
    </w:p>
    <w:p w14:paraId="533E448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若法律法规的相关规定发生变更或监管机构允许，本基金管理人在履行适当程序后，可对上述资产配置比例进行调整。</w:t>
      </w:r>
    </w:p>
    <w:bookmarkEnd w:id="312"/>
    <w:bookmarkEnd w:id="313"/>
    <w:p w14:paraId="0191F8C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三、投资策略</w:t>
      </w:r>
    </w:p>
    <w:p w14:paraId="35E51F7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主要通过投资于目标ETF，实现对指数的紧密跟踪。在正常市场情况下，本基金力争与业绩比较基准之间的日均跟踪偏离度的绝对值不超过0.35%，年化跟踪误差不超过4%。如因指数编制规则调整或其他因素导致跟踪误差超过上述范围，基金管理人应采取合理措施避免跟踪误差进一步扩大。</w:t>
      </w:r>
    </w:p>
    <w:p w14:paraId="6963CBC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1、资产配置策略</w:t>
      </w:r>
    </w:p>
    <w:p w14:paraId="5950CD3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为实现投资目标，本基金将以不低于基金资产净值90%的资产投资于目标ETF。其余资产可投资于标的指数成份股、备选成份股（含存托凭证）、依法发行上市的非成份股（包括创业板及其他经中国证监会核准或注册上市的股票、存托凭证）、债券、资产支持证券、债券回购、银行存款、同业存单、货币市场工具、国债期货、股指期货、股票期权及法律法规或中国证监会允许基金投资的其他金融工具（但须符合中国证监会相关规定），其目的是为了使本基金在保障日常申购赎回的前提下，更好地跟踪标的指数。</w:t>
      </w:r>
    </w:p>
    <w:p w14:paraId="28605F4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2、基金投资策略</w:t>
      </w:r>
    </w:p>
    <w:p w14:paraId="04B7226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本基金投资目标ETF的两种方式如下：</w:t>
      </w:r>
    </w:p>
    <w:p w14:paraId="28845DB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1）申购和赎回：目标ETF开放申购赎回后，按照目标ETF法律文件约定的方式申赎目标ETF。</w:t>
      </w:r>
    </w:p>
    <w:p w14:paraId="02304F2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2）二级市场方式：目标ETF上市交易后，在二级市场进行目标ETF份额的交易。</w:t>
      </w:r>
    </w:p>
    <w:p w14:paraId="2D553F8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当目标ETF申购、赎回或交易模式进行了变更或调整，本基金</w:t>
      </w:r>
      <w:r>
        <w:rPr>
          <w:rFonts w:hint="eastAsia" w:asciiTheme="minorEastAsia" w:hAnsiTheme="minorEastAsia" w:eastAsiaTheme="minorEastAsia"/>
          <w:highlight w:val="none"/>
          <w:lang w:val="en-US" w:eastAsia="zh-CN"/>
        </w:rPr>
        <w:t>经履行适当程序后</w:t>
      </w:r>
      <w:r>
        <w:rPr>
          <w:rFonts w:hint="eastAsia" w:asciiTheme="minorEastAsia" w:hAnsiTheme="minorEastAsia" w:eastAsiaTheme="minorEastAsia"/>
          <w:highlight w:val="none"/>
        </w:rPr>
        <w:t>也将作相应的变更或调整，无须召开基金份额持有人大会</w:t>
      </w:r>
      <w:r>
        <w:rPr>
          <w:rFonts w:hint="eastAsia" w:asciiTheme="minorEastAsia" w:hAnsiTheme="minorEastAsia" w:eastAsiaTheme="minorEastAsia"/>
          <w:highlight w:val="none"/>
          <w:lang w:val="en-US" w:eastAsia="zh-CN"/>
        </w:rPr>
        <w:t>审议</w:t>
      </w:r>
      <w:r>
        <w:rPr>
          <w:rFonts w:hint="eastAsia" w:asciiTheme="minorEastAsia" w:hAnsiTheme="minorEastAsia" w:eastAsiaTheme="minorEastAsia"/>
          <w:highlight w:val="none"/>
        </w:rPr>
        <w:t>。</w:t>
      </w:r>
    </w:p>
    <w:p w14:paraId="5277CFF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在投资运作过程中，本基金将在综合考虑合规、风险、效率、成本等因素的基础上，灵活选用上述方式进行目标ETF的交易。</w:t>
      </w:r>
    </w:p>
    <w:p w14:paraId="78494BC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3、成份股、备选成份股投资策略</w:t>
      </w:r>
    </w:p>
    <w:p w14:paraId="231BBBD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对成份股、备选成份股的投资目的是为准备构建股票组合以申购目标ETF。因此对可投资于成份股、备选成份股的资金头寸，主要采取完全复制策略，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4CC3CB3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4、存托凭证投资策略</w:t>
      </w:r>
    </w:p>
    <w:p w14:paraId="3FDC74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本基金将根据本基金的投资目标和股票投资策略，基于对基础证券投资价值的深入研究判断，进行存托凭证的投资。</w:t>
      </w:r>
    </w:p>
    <w:p w14:paraId="258104B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5、债券投资策略</w:t>
      </w:r>
    </w:p>
    <w:p w14:paraId="20180F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本基金债券投资组合将着重考虑基金的流动性管理及策略性投资的需要进行配置。债券投资的目的是保证基金资产流动性，有效利用基金资产，提高基金资产的投资收益。</w:t>
      </w:r>
    </w:p>
    <w:p w14:paraId="61CDAB6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6、资产支持证券的投资策略</w:t>
      </w:r>
    </w:p>
    <w:p w14:paraId="73FED00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14:paraId="5EF1A75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7、可转换债券及可交换债投资策略</w:t>
      </w:r>
    </w:p>
    <w:p w14:paraId="3ED6536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分析宏观经济运行特征并对各类市场大势做出判断的前提下，本基金着重对可转换债券所对应的基础股票进行分析和研究，从行业选择和个券选择两方面进行全方位的评估，对盈利能力或成长性较好的行业和上市公司的可转换债券进行重点关注，并结合基金管理人可转债评级系统对可转换债券投资价值进行有效的评估，选择投资价值较高的个券进行投资。</w:t>
      </w:r>
    </w:p>
    <w:p w14:paraId="54E0C81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可交换债在换股期间用于交换的股票是发行人持有的其他上市公司（以下简称“目标公司”）的股票。可交换债同样兼具股票和债券的特性。其中，债券特性与可转换债券相同，指持有至到期获取的票面利息和票面价值。股票特性则指目标公司的成长能力、盈利能力及目标公司股票价格的成长性等。本基金将通过对可交换债的纯债价值和目标公司的股票价值进行研究分析，综合开展投资决策。</w:t>
      </w:r>
    </w:p>
    <w:p w14:paraId="4CB1E19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8、衍生品投资策略</w:t>
      </w:r>
    </w:p>
    <w:p w14:paraId="6317486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（1）股指期货、国债期货交易策略</w:t>
      </w:r>
    </w:p>
    <w:p w14:paraId="2952C46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本基金参与股指期货交易将根据风险管理的原则，以套期保值为目的，力争利用股指期货的杠杆作用，降低股票仓位频繁调整的交易成本和跟踪误差，达到有效跟踪标的指数的目的。</w:t>
      </w:r>
    </w:p>
    <w:p w14:paraId="7ECB545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本基金将根据风险管理的原则，以套期保值为目的，在风险可控的前提下，本着谨慎原则，参与国债期货的交易，改善组合的风险收益特性。</w:t>
      </w:r>
    </w:p>
    <w:p w14:paraId="4C165ED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（2）股票期权投资策略</w:t>
      </w:r>
    </w:p>
    <w:p w14:paraId="3B30404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1DDA864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9、融资及转融通证券出借业务的投资策略</w:t>
      </w:r>
    </w:p>
    <w:p w14:paraId="201BC9D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将在充分考虑风险和收益特征的基础上，审慎参与融资及转融通证券出借业务。本基金将基于对市场行情和组合风险收益的分析，确定投资时机、标的证券以及投资比例。本基金将根据市场情况、投资者类型和结构、本基金的历史申赎情况、出借证券流动性情况等因素，合理确定出借证券的范围、品类、期限和比例。若相关融资及转融通证券出借业务法律法规发生变化，本基金将从其最新规定，以符合上述法律法规和监管要求的变化。</w:t>
      </w:r>
    </w:p>
    <w:p w14:paraId="21AA1F5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4FDB9F7">
      <w:pPr>
        <w:adjustRightInd w:val="0"/>
        <w:snapToGrid w:val="0"/>
        <w:spacing w:line="360" w:lineRule="auto"/>
        <w:ind w:firstLine="420" w:firstLineChars="200"/>
        <w:rPr>
          <w:rFonts w:asciiTheme="minorEastAsia" w:hAnsiTheme="minorEastAsia" w:eastAsiaTheme="minorEastAsia"/>
          <w:highlight w:val="none"/>
        </w:rPr>
      </w:pPr>
      <w:bookmarkStart w:id="314" w:name="_Hlk186895096"/>
      <w:r>
        <w:rPr>
          <w:rFonts w:hint="eastAsia" w:asciiTheme="minorEastAsia" w:hAnsiTheme="minorEastAsia" w:eastAsiaTheme="minorEastAsia"/>
          <w:highlight w:val="none"/>
        </w:rPr>
        <w:t>四、投资禁止行为与限制</w:t>
      </w:r>
    </w:p>
    <w:p w14:paraId="0AB1F91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、基金投资组合比例限制</w:t>
      </w:r>
    </w:p>
    <w:p w14:paraId="787E84EB">
      <w:pPr>
        <w:adjustRightInd w:val="0"/>
        <w:snapToGrid w:val="0"/>
        <w:spacing w:line="360" w:lineRule="auto"/>
        <w:ind w:firstLine="420" w:firstLineChars="200"/>
        <w:rPr>
          <w:rFonts w:asciiTheme="minorEastAsia" w:hAnsiTheme="minorEastAsia" w:eastAsiaTheme="minorEastAsia"/>
          <w:highlight w:val="none"/>
        </w:rPr>
      </w:pPr>
      <w:bookmarkStart w:id="315" w:name="_Hlk160725675"/>
      <w:r>
        <w:rPr>
          <w:rFonts w:hint="eastAsia" w:asciiTheme="minorEastAsia" w:hAnsiTheme="minorEastAsia" w:eastAsiaTheme="minorEastAsia"/>
          <w:highlight w:val="none"/>
        </w:rPr>
        <w:t>（1）本基金投资于目标ETF的资产比例不低于基金资产净值的90%，且不低于非现金基金资产的80%；</w:t>
      </w:r>
    </w:p>
    <w:p w14:paraId="3B10801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14:paraId="60DECB0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（3）本基金投资于同一原始权益人的各类资产支持证券的比例，不得超过基金资产净值的10％；</w:t>
      </w:r>
    </w:p>
    <w:p w14:paraId="7D14E06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（4）本基金持有的全部资产支持证券，其市值不得超过基金资产净值的20％；</w:t>
      </w:r>
    </w:p>
    <w:p w14:paraId="23DAC2A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（5）本基金持有的同一(指同一信用级别)资产支持证券的比例，不得超过该资产支持证券规模的10％；</w:t>
      </w:r>
    </w:p>
    <w:p w14:paraId="74CEB77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（6）本基金管理人管理的全部基金投资于同一原始权益人的各类资产支持证券，不得超过其各类资产支持证券合计规模的10％；</w:t>
      </w:r>
    </w:p>
    <w:p w14:paraId="05B82D9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（7）本基金应投资于信用级别评级为BBB以上(含BBB)的资产支持证券。基金持有资产支持证券期间，如果其信用等级下降、不再符合投资标准，应在评级报告发布之日起3个月内予以全部卖出；</w:t>
      </w:r>
    </w:p>
    <w:p w14:paraId="42D485A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（8）基金财产参与股票发行申购，本基金所申报的金额不超过本基金的总资产，本基金所申报的股票数量不超过拟发行股票公司本次发行股票的总量；</w:t>
      </w:r>
    </w:p>
    <w:p w14:paraId="7CF5B6F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（9）本基金参与股指期货和国债期货交易的，应遵循下列限制：</w:t>
      </w:r>
    </w:p>
    <w:p w14:paraId="0A25BF9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1）本基金在任何交易日日终，持有的买入股指期货合约价值，不得超过基金资产净值的10%；</w:t>
      </w:r>
    </w:p>
    <w:p w14:paraId="2567CCD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14:paraId="5BF4F65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3）本基金在任何交易日日终，持有的卖出股指期货合约价值不得超过基金持有的股票总市值的20%；</w:t>
      </w:r>
    </w:p>
    <w:p w14:paraId="57EBA04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4）本基金在任何交易日内交易（不包括平仓）的股指期货合约的成交金额不得超过上一交易日基金资产净值的20%；</w:t>
      </w:r>
    </w:p>
    <w:p w14:paraId="347B7A3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5）本基金所持有的股票市值和买入、卖出股指期货合约价值，合计（轧差计算）应当符合本基金合同关于股票投资比例的有关规定；</w:t>
      </w:r>
    </w:p>
    <w:p w14:paraId="1D03A92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6）本基金在任何交易日日终，持有的买入国债期货合约价值，不得超过基金资产净值的15%；</w:t>
      </w:r>
    </w:p>
    <w:p w14:paraId="4D58CEA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7）本基金在任何交易日日终，持有的卖出国债期货合约价值不得超过基金持有的债券总市值的30%；</w:t>
      </w:r>
    </w:p>
    <w:p w14:paraId="65077B4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8）本基金在任何交易日内交易（不包括平仓）的国债期货合约的成交金额不得超过上一交易日基金资产净值的30%；</w:t>
      </w:r>
    </w:p>
    <w:p w14:paraId="3754B0F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9）本基金所持有的债券（不含到期日在一年以内的政府债券）市值和买入、卖出国债期货合约价值，合计（轧差计算）应当符合基金合同关于债券投资比例的有关约定；</w:t>
      </w:r>
    </w:p>
    <w:p w14:paraId="6D6CEFD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（10）本基金参与股票期权交易的，需遵守下列规定：</w:t>
      </w:r>
    </w:p>
    <w:p w14:paraId="3416588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1）因未平仓的股票期权合约支付和收取的权利金总额不得超过基金资产净值的10%；</w:t>
      </w:r>
    </w:p>
    <w:p w14:paraId="501D544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2）开仓卖出认购股票期权的，应持有足额标的证券；开仓卖出认沽股票期权的，应持有合约行权所需的全额现金或交易所规则认可的可冲抵股票期权保证金的现金等价物；</w:t>
      </w:r>
    </w:p>
    <w:p w14:paraId="71554D2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3）未平仓的股票期权合约面值不得超过基金资产净值的 20%。其中，合约面值按照行权价乘以合约乘数计算；</w:t>
      </w:r>
    </w:p>
    <w:p w14:paraId="135212B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（11）本基金参与转融通证券出借交易的，需遵守下列规定：</w:t>
      </w:r>
    </w:p>
    <w:p w14:paraId="2997019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1）出借证券资产不得超过基金资产净值的 30%，出借期限在10个交易日以上的出借证券应纳入《流动性风险管理规定》所述流动性受限证券的范围； </w:t>
      </w:r>
    </w:p>
    <w:p w14:paraId="4DCB426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2）参与出借业务的单只证券不得超过基金持有该证券总量的50%；</w:t>
      </w:r>
    </w:p>
    <w:p w14:paraId="2665E0C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3）最近6个月内日均基金资产净值不得低于2亿元；</w:t>
      </w:r>
    </w:p>
    <w:p w14:paraId="731972C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4）证券出借的平均剩余期限不得超过30天，平均剩余期限按照市值加权平均计算；</w:t>
      </w:r>
    </w:p>
    <w:p w14:paraId="5BCEE01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5）因证券市场波动、证券发行人合并、基金规模变动等基金管理人之外的因素致使基金投资不符合上述规定的，基金管理人不得新增出借业务；</w:t>
      </w:r>
    </w:p>
    <w:p w14:paraId="32A2545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12）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0F0BA6D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（13）本基金与私募类证券资管产品及中国证监会认定的其他主体为交易对手开展逆回购交易的，可接受质押品的资质要求应当与本基金合同约定的投资范围保持一致；</w:t>
      </w:r>
    </w:p>
    <w:p w14:paraId="412D7DA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（14）本基金资产总值不超过基金资产净值的140%；</w:t>
      </w:r>
    </w:p>
    <w:p w14:paraId="67BAF4C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（15）本基金参与融资的，每个交易日日终，本基金持有的融资买入股票与其他有价证券市值之和，不得超过基金资产净值的95%；</w:t>
      </w:r>
    </w:p>
    <w:p w14:paraId="714B2B2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（16）本基金投资存托凭证的比例限制依照境内上市交易的股票执行；</w:t>
      </w:r>
    </w:p>
    <w:p w14:paraId="40AD87B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（17）法律法规及中国证监会规定的和《基金合同》约定的其他投资限制。</w:t>
      </w:r>
    </w:p>
    <w:p w14:paraId="34013BE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除上述（1）、（2）、（7）、（11）、（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14:paraId="4997FEC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w:t>
      </w:r>
    </w:p>
    <w:p w14:paraId="683035F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如果法律法规对基金合同约定投资组合比例限制进行变更的，以变更后的规定为准。法律法规或监管部门取消上述限制，如适用于本基金，在履行适当程序后，则本基金投资不再受相关限制。</w:t>
      </w:r>
    </w:p>
    <w:bookmarkEnd w:id="315"/>
    <w:p w14:paraId="63718BB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、禁止行为</w:t>
      </w:r>
    </w:p>
    <w:p w14:paraId="268127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为维护基金份额持有人的合法权益，基金财产不得用于下列投资或者活动：</w:t>
      </w:r>
    </w:p>
    <w:p w14:paraId="040B7C69">
      <w:pPr>
        <w:adjustRightInd w:val="0"/>
        <w:snapToGrid w:val="0"/>
        <w:spacing w:line="360" w:lineRule="auto"/>
        <w:ind w:firstLine="420" w:firstLineChars="200"/>
        <w:rPr>
          <w:rFonts w:asciiTheme="minorEastAsia" w:hAnsiTheme="minorEastAsia" w:eastAsiaTheme="minorEastAsia"/>
          <w:highlight w:val="none"/>
        </w:rPr>
      </w:pPr>
      <w:bookmarkStart w:id="316" w:name="_Hlk103616500"/>
      <w:r>
        <w:rPr>
          <w:rFonts w:hint="eastAsia" w:asciiTheme="minorEastAsia" w:hAnsiTheme="minorEastAsia" w:eastAsiaTheme="minorEastAsia"/>
          <w:highlight w:val="none"/>
        </w:rPr>
        <w:t>（</w:t>
      </w:r>
      <w:r>
        <w:rPr>
          <w:rFonts w:asciiTheme="minorEastAsia" w:hAnsiTheme="minorEastAsia" w:eastAsiaTheme="minorEastAsia"/>
          <w:highlight w:val="none"/>
        </w:rPr>
        <w:t>1）承销证券；</w:t>
      </w:r>
    </w:p>
    <w:p w14:paraId="5040972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违反规定向他人贷款或者提供担保；</w:t>
      </w:r>
    </w:p>
    <w:p w14:paraId="59F70B2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3）从事承担无限责任的投资；</w:t>
      </w:r>
    </w:p>
    <w:p w14:paraId="6F47E58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4）买卖</w:t>
      </w:r>
      <w:r>
        <w:rPr>
          <w:rFonts w:hint="eastAsia" w:asciiTheme="minorEastAsia" w:hAnsiTheme="minorEastAsia" w:eastAsiaTheme="minorEastAsia"/>
          <w:highlight w:val="none"/>
        </w:rPr>
        <w:t>除目标</w:t>
      </w:r>
      <w:r>
        <w:rPr>
          <w:rFonts w:asciiTheme="minorEastAsia" w:hAnsiTheme="minorEastAsia" w:eastAsiaTheme="minorEastAsia"/>
          <w:highlight w:val="none"/>
        </w:rPr>
        <w:t>ETF外的其他基金份额，但是</w:t>
      </w:r>
      <w:r>
        <w:rPr>
          <w:rFonts w:hint="eastAsia" w:asciiTheme="minorEastAsia" w:hAnsiTheme="minorEastAsia" w:eastAsiaTheme="minorEastAsia"/>
          <w:highlight w:val="none"/>
        </w:rPr>
        <w:t>中国证监会另有规定的除外；</w:t>
      </w:r>
    </w:p>
    <w:p w14:paraId="6A6A2DA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5）向</w:t>
      </w:r>
      <w:r>
        <w:rPr>
          <w:rFonts w:hint="eastAsia" w:asciiTheme="minorEastAsia" w:hAnsiTheme="minorEastAsia" w:eastAsiaTheme="minorEastAsia"/>
          <w:highlight w:val="none"/>
        </w:rPr>
        <w:t>其</w:t>
      </w:r>
      <w:r>
        <w:rPr>
          <w:rFonts w:asciiTheme="minorEastAsia" w:hAnsiTheme="minorEastAsia" w:eastAsiaTheme="minorEastAsia"/>
          <w:highlight w:val="none"/>
        </w:rPr>
        <w:t>基金管理人、基金托管人出资</w:t>
      </w:r>
      <w:r>
        <w:rPr>
          <w:rFonts w:hint="eastAsia" w:asciiTheme="minorEastAsia" w:hAnsiTheme="minorEastAsia" w:eastAsiaTheme="minorEastAsia"/>
          <w:highlight w:val="none"/>
        </w:rPr>
        <w:t>；</w:t>
      </w:r>
    </w:p>
    <w:p w14:paraId="01BC520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）从事内幕交易、操纵证券交易价格及其他不正当的证券交易活动；</w:t>
      </w:r>
    </w:p>
    <w:p w14:paraId="1ACEF16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）法律、行政法规和中国证监会规定禁止的其他活动。</w:t>
      </w:r>
    </w:p>
    <w:bookmarkEnd w:id="316"/>
    <w:p w14:paraId="2FFE02E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A3FE5E">
      <w:pPr>
        <w:adjustRightInd w:val="0"/>
        <w:snapToGrid w:val="0"/>
        <w:spacing w:line="360" w:lineRule="auto"/>
        <w:ind w:firstLine="420" w:firstLineChars="200"/>
        <w:rPr>
          <w:rFonts w:asciiTheme="minorEastAsia" w:hAnsiTheme="minorEastAsia" w:eastAsiaTheme="minorEastAsia"/>
          <w:highlight w:val="none"/>
        </w:rPr>
      </w:pPr>
      <w:bookmarkStart w:id="317" w:name="_Hlk103616505"/>
      <w:r>
        <w:rPr>
          <w:rFonts w:hint="eastAsia" w:asciiTheme="minorEastAsia" w:hAnsiTheme="minorEastAsia" w:eastAsiaTheme="minorEastAsia"/>
          <w:highlight w:val="none"/>
        </w:rPr>
        <w:t>法律、行政法规或监管部门取消或变更上述限制，如适用于本基金，在履行适当程序后，则本基金投资不再受相关限制或按变更后的规定执行。</w:t>
      </w:r>
    </w:p>
    <w:bookmarkEnd w:id="314"/>
    <w:bookmarkEnd w:id="317"/>
    <w:p w14:paraId="5AAE650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五、标的指数与业绩比较基准</w:t>
      </w:r>
    </w:p>
    <w:p w14:paraId="21733C9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本基金的</w:t>
      </w:r>
      <w:r>
        <w:rPr>
          <w:rFonts w:hint="eastAsia" w:asciiTheme="minorEastAsia" w:hAnsiTheme="minorEastAsia" w:eastAsiaTheme="minorEastAsia"/>
          <w:highlight w:val="none"/>
        </w:rPr>
        <w:t>标的指数</w:t>
      </w:r>
      <w:r>
        <w:rPr>
          <w:rFonts w:asciiTheme="minorEastAsia" w:hAnsiTheme="minorEastAsia" w:eastAsiaTheme="minorEastAsia"/>
          <w:highlight w:val="none"/>
        </w:rPr>
        <w:t>为</w:t>
      </w:r>
      <w:r>
        <w:rPr>
          <w:rFonts w:hint="eastAsia" w:asciiTheme="minorEastAsia" w:hAnsiTheme="minorEastAsia" w:eastAsiaTheme="minorEastAsia"/>
          <w:highlight w:val="none"/>
        </w:rPr>
        <w:t>：中证金融科技主题指数</w:t>
      </w:r>
    </w:p>
    <w:p w14:paraId="1EF5B04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本基金的</w:t>
      </w:r>
      <w:r>
        <w:rPr>
          <w:rFonts w:hint="eastAsia" w:asciiTheme="minorEastAsia" w:hAnsiTheme="minorEastAsia" w:eastAsiaTheme="minorEastAsia"/>
          <w:highlight w:val="none"/>
        </w:rPr>
        <w:t>业绩比较基准</w:t>
      </w:r>
      <w:r>
        <w:rPr>
          <w:rFonts w:asciiTheme="minorEastAsia" w:hAnsiTheme="minorEastAsia" w:eastAsiaTheme="minorEastAsia"/>
          <w:highlight w:val="none"/>
        </w:rPr>
        <w:t>为</w:t>
      </w:r>
      <w:r>
        <w:rPr>
          <w:rFonts w:hint="eastAsia" w:asciiTheme="minorEastAsia" w:hAnsiTheme="minorEastAsia" w:eastAsiaTheme="minorEastAsia"/>
          <w:highlight w:val="none"/>
        </w:rPr>
        <w:t>：中证金融科技主题指数收益率×</w:t>
      </w:r>
      <w:r>
        <w:rPr>
          <w:rFonts w:asciiTheme="minorEastAsia" w:hAnsiTheme="minorEastAsia" w:eastAsiaTheme="minorEastAsia"/>
          <w:highlight w:val="none"/>
        </w:rPr>
        <w:t>95%+银行活期存款税后</w:t>
      </w:r>
      <w:r>
        <w:rPr>
          <w:rFonts w:hint="eastAsia" w:asciiTheme="minorEastAsia" w:hAnsiTheme="minorEastAsia" w:eastAsiaTheme="minorEastAsia"/>
          <w:highlight w:val="none"/>
        </w:rPr>
        <w:t>利率×</w:t>
      </w:r>
      <w:r>
        <w:rPr>
          <w:rFonts w:asciiTheme="minorEastAsia" w:hAnsiTheme="minorEastAsia" w:eastAsiaTheme="minorEastAsia"/>
          <w:highlight w:val="none"/>
        </w:rPr>
        <w:t>5%</w:t>
      </w:r>
    </w:p>
    <w:p w14:paraId="2D56603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未来若出现标的指数不符合要求（因成份股价格波动等指数编制方法变动之外的因素致使标的指数不符合要求以及法律法规、监管机构另有规定的情形除外）、指数编制机构退出等情形，除法律法规、监管机构另有规定或基金合同另有规定外，基金管理人应当自该情形发生之日起十个工作日内向中国证监会报告并提出解决方案，如转换运作方式、与其他基金合并或者终止基金合同等，并在6个月内召集基金份额持有人大会进行表决。</w:t>
      </w:r>
    </w:p>
    <w:p w14:paraId="0B85959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自指数编制机构停止标的指数的编制及发布至解决方案确定期间，基金管理人应按照指数编制机构提供的最近一个交易日的指数信息遵循基金份额持有人利益优先原则维持基金投资运作。</w:t>
      </w:r>
    </w:p>
    <w:p w14:paraId="41C9530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六、风险收益特征</w:t>
      </w:r>
    </w:p>
    <w:p w14:paraId="0083DFD6">
      <w:pPr>
        <w:adjustRightInd w:val="0"/>
        <w:snapToGrid w:val="0"/>
        <w:spacing w:line="360" w:lineRule="auto"/>
        <w:ind w:firstLine="420" w:firstLineChars="200"/>
        <w:rPr>
          <w:rFonts w:asciiTheme="minorEastAsia" w:hAnsiTheme="minorEastAsia" w:eastAsiaTheme="minorEastAsia"/>
          <w:highlight w:val="none"/>
        </w:rPr>
      </w:pPr>
      <w:bookmarkStart w:id="318" w:name="_Toc93226145"/>
      <w:bookmarkStart w:id="319" w:name="_Toc92662704"/>
      <w:bookmarkStart w:id="320" w:name="_Toc20102"/>
      <w:bookmarkStart w:id="321" w:name="_Toc31611"/>
      <w:bookmarkStart w:id="322" w:name="_Toc13819"/>
      <w:bookmarkStart w:id="323" w:name="_Toc24474"/>
      <w:bookmarkStart w:id="324" w:name="_Toc128310496"/>
      <w:bookmarkStart w:id="325" w:name="_Toc32030"/>
      <w:bookmarkStart w:id="326" w:name="_Toc29561"/>
      <w:bookmarkStart w:id="327" w:name="_Toc26114"/>
      <w:bookmarkStart w:id="328" w:name="_Toc21642"/>
      <w:bookmarkStart w:id="329" w:name="_Toc3054"/>
      <w:bookmarkStart w:id="330" w:name="_Toc18000"/>
      <w:bookmarkStart w:id="331" w:name="_Toc141703893"/>
      <w:bookmarkStart w:id="332" w:name="_Toc139991743"/>
      <w:bookmarkStart w:id="333" w:name="_Toc20782"/>
      <w:r>
        <w:rPr>
          <w:rFonts w:hint="eastAsia" w:asciiTheme="minorEastAsia" w:hAnsiTheme="minorEastAsia" w:eastAsiaTheme="minorEastAsia"/>
          <w:highlight w:val="none"/>
        </w:rPr>
        <w:t>本基金为ETF联接基金，通过投资于目标</w:t>
      </w:r>
      <w:r>
        <w:rPr>
          <w:rFonts w:asciiTheme="minorEastAsia" w:hAnsiTheme="minorEastAsia" w:eastAsiaTheme="minorEastAsia"/>
          <w:highlight w:val="none"/>
        </w:rPr>
        <w:t>ETF跟踪标的指数表现，具有与标的指数以及标的指数所代表的证券市场相似的风险收益特征。</w:t>
      </w:r>
    </w:p>
    <w:p w14:paraId="49F3330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同时，本基金为被动式投资的股票指数基金，跟踪中证金融科技主题指数，其预期风险与预期收益高于债券型基金、混合型基金、货币市场基金。</w:t>
      </w:r>
    </w:p>
    <w:p w14:paraId="4043498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w:t>
      </w:r>
      <w:bookmarkStart w:id="334" w:name="OLE_LINK2"/>
      <w:r>
        <w:rPr>
          <w:rFonts w:hint="eastAsia" w:asciiTheme="minorEastAsia" w:hAnsiTheme="minorEastAsia" w:eastAsiaTheme="minorEastAsia"/>
          <w:highlight w:val="none"/>
        </w:rPr>
        <w:t>目标ETF发生相关变更情形时的处</w:t>
      </w:r>
      <w:bookmarkEnd w:id="334"/>
      <w:r>
        <w:rPr>
          <w:rFonts w:hint="eastAsia" w:asciiTheme="minorEastAsia" w:hAnsiTheme="minorEastAsia" w:eastAsiaTheme="minorEastAsia"/>
          <w:highlight w:val="none"/>
        </w:rPr>
        <w:t>理</w:t>
      </w:r>
    </w:p>
    <w:p w14:paraId="15B128B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除标的指数不符合要求（因成份股价格波动等指数编制方法变动之外的因素致使标的指数不符合要求以及法律法规、监管机构另有规定的情形除外）、指数编制机构退出等原因外，目标ETF出现下述情形之一的，本基金将在履行适当程序后由投资于目标ETF的联接基金变更为直接投资标的指数的指数基金，无需召开基金份额持有人大会</w:t>
      </w:r>
      <w:r>
        <w:rPr>
          <w:rFonts w:hint="eastAsia" w:asciiTheme="minorEastAsia" w:hAnsiTheme="minorEastAsia" w:eastAsiaTheme="minorEastAsia"/>
          <w:highlight w:val="none"/>
          <w:lang w:val="en-US" w:eastAsia="zh-CN"/>
        </w:rPr>
        <w:t>审议</w:t>
      </w:r>
      <w:r>
        <w:rPr>
          <w:rFonts w:hint="eastAsia" w:asciiTheme="minorEastAsia" w:hAnsiTheme="minorEastAsia" w:eastAsiaTheme="minorEastAsia"/>
          <w:highlight w:val="none"/>
        </w:rPr>
        <w:t>；若届时本基金管理人已有以该指数作为标的指数的指数基金，基金管理人应本着维护投资人合法权益的原则，提出解决方案，并相应履行适当程序，届时将由基金管理人另行公告。相应地，本基金基金合同中将删除关于目标ETF的表述部分，届时将由基金管理人另行公告。</w:t>
      </w:r>
    </w:p>
    <w:p w14:paraId="20D821C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1、目标ETF交易方式发生重大变更致使本基金的投资策略难以实现；</w:t>
      </w:r>
    </w:p>
    <w:p w14:paraId="5EFD131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2、目标ETF终止上市；</w:t>
      </w:r>
    </w:p>
    <w:p w14:paraId="727B213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3、目标ETF基金合同终止；</w:t>
      </w:r>
    </w:p>
    <w:p w14:paraId="0DA56DE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4、目标ETF与其他基金进行合并；</w:t>
      </w:r>
    </w:p>
    <w:p w14:paraId="4574D6C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、目标ETF的基金管理人发生变更（但变更后的本基金与目标ETF的基金管理人相同的除外）；</w:t>
      </w:r>
    </w:p>
    <w:p w14:paraId="0886213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6、中国证监会规定的其他情形。</w:t>
      </w:r>
    </w:p>
    <w:p w14:paraId="1884E2E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八、基金管理人代表基金行使股东或债权人权利的处理原则及方法</w:t>
      </w:r>
    </w:p>
    <w:p w14:paraId="5B3A7E0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1、基金管理人按照国家有关规定代表基金独立行使股东或债权人权利，保护基金份额持有人的利益；</w:t>
      </w:r>
    </w:p>
    <w:p w14:paraId="59EF150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2、不谋求对上市公司的控股；</w:t>
      </w:r>
    </w:p>
    <w:p w14:paraId="6AFEB18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3、有利于基金财产的安全与增值；</w:t>
      </w:r>
    </w:p>
    <w:p w14:paraId="0A20E5F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4、不通过关联交易为自身、雇员、授权代理人或任何存在利害关系的第三人牟取任何不当利益。</w:t>
      </w:r>
    </w:p>
    <w:p w14:paraId="1C9681A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九、侧袋机制的实施和投资运作安排</w:t>
      </w:r>
    </w:p>
    <w:p w14:paraId="275B577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278292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侧袋机制实施期间，本部分约定的投资组合比例、投资策略、组合限制、业绩比较基准、风险收益特征等约定仅适用于主袋账户。</w:t>
      </w:r>
    </w:p>
    <w:p w14:paraId="5170F96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侧袋账户的实施条件、实施程序、运作安排、投资安排、特定资产的处置变现和支付等对投资者权益有重大影响的事项详见招募说明书的规定。</w:t>
      </w:r>
    </w:p>
    <w:p w14:paraId="587D9AF0">
      <w:pPr>
        <w:adjustRightInd w:val="0"/>
        <w:snapToGrid w:val="0"/>
        <w:spacing w:line="360" w:lineRule="auto"/>
        <w:ind w:firstLine="420" w:firstLineChars="200"/>
        <w:rPr>
          <w:rFonts w:asciiTheme="minorEastAsia" w:hAnsiTheme="minorEastAsia" w:eastAsiaTheme="minorEastAsia"/>
          <w:highlight w:val="none"/>
        </w:rPr>
      </w:pPr>
    </w:p>
    <w:bookmarkEnd w:id="309"/>
    <w:p w14:paraId="6727AE4D">
      <w:pPr>
        <w:adjustRightInd w:val="0"/>
        <w:snapToGrid w:val="0"/>
        <w:spacing w:line="360" w:lineRule="auto"/>
        <w:ind w:firstLine="420" w:firstLineChars="200"/>
        <w:rPr>
          <w:rFonts w:cs="Arial" w:asciiTheme="minorEastAsia" w:hAnsiTheme="minorEastAsia" w:eastAsiaTheme="minorEastAsia"/>
          <w:szCs w:val="21"/>
          <w:highlight w:val="none"/>
        </w:rPr>
        <w:sectPr>
          <w:footerReference r:id="rId17" w:type="default"/>
          <w:pgSz w:w="11906" w:h="16838"/>
          <w:pgMar w:top="1418" w:right="1701" w:bottom="1418" w:left="1701" w:header="851" w:footer="992" w:gutter="0"/>
          <w:pgNumType w:start="1"/>
          <w:cols w:space="425" w:num="1"/>
          <w:formProt w:val="0"/>
          <w:docGrid w:type="lines" w:linePitch="312" w:charSpace="0"/>
        </w:sectPr>
      </w:pPr>
    </w:p>
    <w:p w14:paraId="3F96D683">
      <w:pPr>
        <w:adjustRightInd w:val="0"/>
        <w:snapToGrid w:val="0"/>
        <w:spacing w:line="360" w:lineRule="auto"/>
        <w:rPr>
          <w:rFonts w:cs="Arial" w:asciiTheme="minorEastAsia" w:hAnsiTheme="minorEastAsia" w:eastAsiaTheme="minorEastAsia"/>
          <w:szCs w:val="21"/>
          <w:highlight w:val="none"/>
        </w:rPr>
      </w:pPr>
      <w:bookmarkStart w:id="335" w:name="CTS_c9e69c0aca64452da0c3ec6152cebfa8"/>
      <w:bookmarkEnd w:id="335"/>
      <w:bookmarkStart w:id="336" w:name="CLAUSE_c9e69c0aca64452da0c3ec6152cebfa8"/>
    </w:p>
    <w:bookmarkEnd w:id="310"/>
    <w:p w14:paraId="2E1242B2">
      <w:pPr>
        <w:pStyle w:val="3"/>
        <w:adjustRightInd w:val="0"/>
        <w:snapToGrid w:val="0"/>
        <w:spacing w:before="312" w:beforeLines="100" w:after="0" w:line="360" w:lineRule="auto"/>
        <w:rPr>
          <w:rFonts w:asciiTheme="minorEastAsia" w:hAnsiTheme="minorEastAsia" w:eastAsiaTheme="minorEastAsia"/>
          <w:sz w:val="21"/>
          <w:highlight w:val="none"/>
        </w:rPr>
      </w:pPr>
      <w:bookmarkStart w:id="337" w:name="_Toc16237238"/>
      <w:bookmarkStart w:id="338" w:name="_Toc90742330"/>
      <w:bookmarkStart w:id="339" w:name="_Toc90742399"/>
      <w:bookmarkStart w:id="340" w:name="_Hlk161320981"/>
      <w:r>
        <w:rPr>
          <w:rFonts w:hint="eastAsia" w:cs="Arial" w:asciiTheme="minorEastAsia" w:hAnsiTheme="minorEastAsia" w:eastAsiaTheme="minorEastAsia"/>
          <w:sz w:val="21"/>
          <w:szCs w:val="21"/>
          <w:highlight w:val="none"/>
        </w:rPr>
        <w:t xml:space="preserve">第十三部分 </w:t>
      </w:r>
      <w:r>
        <w:rPr>
          <w:rFonts w:hint="eastAsia" w:asciiTheme="minorEastAsia" w:hAnsiTheme="minorEastAsia" w:eastAsiaTheme="minorEastAsia"/>
          <w:sz w:val="21"/>
          <w:highlight w:val="none"/>
        </w:rPr>
        <w:t>基金</w:t>
      </w:r>
      <w:bookmarkEnd w:id="318"/>
      <w:bookmarkEnd w:id="319"/>
      <w:r>
        <w:rPr>
          <w:rFonts w:hint="eastAsia" w:asciiTheme="minorEastAsia" w:hAnsiTheme="minorEastAsia" w:eastAsiaTheme="minorEastAsia"/>
          <w:sz w:val="21"/>
          <w:highlight w:val="none"/>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7"/>
      <w:bookmarkEnd w:id="338"/>
      <w:bookmarkEnd w:id="339"/>
    </w:p>
    <w:p w14:paraId="709ACF5A">
      <w:pPr>
        <w:spacing w:line="360" w:lineRule="auto"/>
        <w:ind w:firstLine="480" w:firstLineChars="200"/>
        <w:rPr>
          <w:rFonts w:asciiTheme="minorEastAsia" w:hAnsiTheme="minorEastAsia" w:eastAsiaTheme="minorEastAsia"/>
          <w:bCs/>
          <w:sz w:val="24"/>
          <w:highlight w:val="none"/>
        </w:rPr>
      </w:pPr>
    </w:p>
    <w:p w14:paraId="150404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一、基金资产总值</w:t>
      </w:r>
    </w:p>
    <w:p w14:paraId="7DF793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基金资产总值是指基金拥有的目标ETF基金份额、各类有价证券、银行存款本息和基金应收款项以及其他资产的价值总和。</w:t>
      </w:r>
    </w:p>
    <w:p w14:paraId="0B71E64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二、基金资产净值</w:t>
      </w:r>
    </w:p>
    <w:p w14:paraId="2E3384E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基金资产净值是指基金资产总值减去基金负债后的价值。</w:t>
      </w:r>
    </w:p>
    <w:p w14:paraId="317AFBE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三、基金财产的账户</w:t>
      </w:r>
    </w:p>
    <w:p w14:paraId="293A030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人或基金管理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1" w:name="_Hlt88841837"/>
      <w:bookmarkEnd w:id="341"/>
    </w:p>
    <w:p w14:paraId="2C4E56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四、基金财产的保管和处分</w:t>
      </w:r>
      <w:bookmarkStart w:id="342" w:name="_Hlt88900062"/>
      <w:bookmarkEnd w:id="342"/>
    </w:p>
    <w:p w14:paraId="3B5CB0A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0FB3C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BABE266">
      <w:pPr>
        <w:adjustRightInd w:val="0"/>
        <w:snapToGrid w:val="0"/>
        <w:spacing w:line="360" w:lineRule="auto"/>
        <w:rPr>
          <w:rFonts w:cs="Arial" w:asciiTheme="minorEastAsia" w:hAnsiTheme="minorEastAsia" w:eastAsiaTheme="minorEastAsia"/>
          <w:szCs w:val="21"/>
          <w:highlight w:val="none"/>
        </w:rPr>
      </w:pPr>
      <w:bookmarkStart w:id="343" w:name="_Toc871"/>
      <w:bookmarkStart w:id="344" w:name="_Toc17782"/>
      <w:bookmarkStart w:id="345" w:name="_Toc7802"/>
      <w:bookmarkStart w:id="346" w:name="_Toc31917"/>
      <w:bookmarkStart w:id="347" w:name="_Toc2623"/>
      <w:bookmarkStart w:id="348" w:name="_Toc19714"/>
      <w:bookmarkStart w:id="349" w:name="_Toc27832"/>
      <w:bookmarkStart w:id="350" w:name="_Toc139991744"/>
      <w:bookmarkStart w:id="351" w:name="_Toc141703894"/>
    </w:p>
    <w:p w14:paraId="50065D51">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18" w:type="default"/>
          <w:pgSz w:w="11906" w:h="16838"/>
          <w:pgMar w:top="1418" w:right="1701" w:bottom="1418" w:left="1701" w:header="851" w:footer="992" w:gutter="0"/>
          <w:pgNumType w:start="1"/>
          <w:cols w:space="425" w:num="1"/>
          <w:formProt w:val="0"/>
          <w:docGrid w:type="lines" w:linePitch="312" w:charSpace="0"/>
        </w:sectPr>
      </w:pPr>
      <w:bookmarkStart w:id="352" w:name="_Toc90742331"/>
      <w:bookmarkStart w:id="353" w:name="_Toc90742400"/>
    </w:p>
    <w:bookmarkEnd w:id="336"/>
    <w:bookmarkEnd w:id="340"/>
    <w:p w14:paraId="4B34B924">
      <w:pPr>
        <w:pStyle w:val="3"/>
        <w:adjustRightInd w:val="0"/>
        <w:snapToGrid w:val="0"/>
        <w:spacing w:before="312" w:beforeLines="100" w:after="0" w:line="360" w:lineRule="auto"/>
        <w:rPr>
          <w:rFonts w:asciiTheme="minorEastAsia" w:hAnsiTheme="minorEastAsia" w:eastAsiaTheme="minorEastAsia"/>
          <w:sz w:val="21"/>
          <w:highlight w:val="none"/>
        </w:rPr>
      </w:pPr>
      <w:bookmarkStart w:id="354" w:name="_Toc16237239"/>
      <w:bookmarkStart w:id="355" w:name="CLAUSE_50a5d7145af6454c87d2942e4846f137"/>
      <w:r>
        <w:rPr>
          <w:rFonts w:hint="eastAsia" w:cs="Arial" w:asciiTheme="minorEastAsia" w:hAnsiTheme="minorEastAsia" w:eastAsiaTheme="minorEastAsia"/>
          <w:sz w:val="21"/>
          <w:szCs w:val="21"/>
          <w:highlight w:val="none"/>
        </w:rPr>
        <w:t xml:space="preserve">第十四部分 </w:t>
      </w:r>
      <w:bookmarkStart w:id="356" w:name="CTS_50a5d7145af6454c87d2942e4846f137"/>
      <w:bookmarkEnd w:id="356"/>
      <w:r>
        <w:rPr>
          <w:rFonts w:hint="eastAsia" w:asciiTheme="minorEastAsia" w:hAnsiTheme="minorEastAsia" w:eastAsiaTheme="minorEastAsia"/>
          <w:sz w:val="21"/>
          <w:highlight w:val="none"/>
        </w:rPr>
        <w:t>基金资产估值</w:t>
      </w:r>
      <w:bookmarkEnd w:id="343"/>
      <w:bookmarkEnd w:id="344"/>
      <w:bookmarkEnd w:id="345"/>
      <w:bookmarkEnd w:id="346"/>
      <w:bookmarkEnd w:id="347"/>
      <w:bookmarkEnd w:id="348"/>
      <w:bookmarkEnd w:id="349"/>
      <w:bookmarkEnd w:id="352"/>
      <w:bookmarkEnd w:id="353"/>
      <w:bookmarkEnd w:id="354"/>
    </w:p>
    <w:bookmarkEnd w:id="350"/>
    <w:bookmarkEnd w:id="351"/>
    <w:p w14:paraId="7C07BA0D">
      <w:pPr>
        <w:spacing w:line="360" w:lineRule="auto"/>
        <w:ind w:firstLine="480" w:firstLineChars="200"/>
        <w:rPr>
          <w:rFonts w:asciiTheme="minorEastAsia" w:hAnsiTheme="minorEastAsia" w:eastAsiaTheme="minorEastAsia"/>
          <w:bCs/>
          <w:sz w:val="24"/>
          <w:highlight w:val="none"/>
        </w:rPr>
      </w:pPr>
    </w:p>
    <w:p w14:paraId="1BB4C50D">
      <w:pPr>
        <w:spacing w:line="360" w:lineRule="auto"/>
        <w:ind w:firstLine="420" w:firstLineChars="200"/>
        <w:rPr>
          <w:rFonts w:asciiTheme="minorEastAsia" w:hAnsiTheme="minorEastAsia" w:eastAsiaTheme="minorEastAsia"/>
          <w:highlight w:val="none"/>
        </w:rPr>
      </w:pPr>
      <w:bookmarkStart w:id="357" w:name="_Toc141703895"/>
      <w:bookmarkStart w:id="358" w:name="_Toc32046"/>
      <w:bookmarkStart w:id="359" w:name="_Toc139991745"/>
      <w:r>
        <w:rPr>
          <w:rFonts w:hint="eastAsia" w:asciiTheme="minorEastAsia" w:hAnsiTheme="minorEastAsia" w:eastAsiaTheme="minorEastAsia"/>
          <w:highlight w:val="none"/>
        </w:rPr>
        <w:t>一、估值日</w:t>
      </w:r>
    </w:p>
    <w:p w14:paraId="148465FA">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本基金的估值日为本基金相关的证券、期货交易场所的交易日以及国家法律法规规定需要对外披露基金净值的非交易日。</w:t>
      </w:r>
    </w:p>
    <w:p w14:paraId="5E26538E">
      <w:pPr>
        <w:spacing w:line="360" w:lineRule="auto"/>
        <w:ind w:firstLine="420" w:firstLineChars="200"/>
        <w:rPr>
          <w:rFonts w:asciiTheme="minorEastAsia" w:hAnsiTheme="minorEastAsia" w:eastAsiaTheme="minorEastAsia"/>
          <w:highlight w:val="none"/>
        </w:rPr>
      </w:pPr>
      <w:bookmarkStart w:id="360" w:name="_Hlk103614983"/>
      <w:r>
        <w:rPr>
          <w:rFonts w:hint="eastAsia" w:asciiTheme="minorEastAsia" w:hAnsiTheme="minorEastAsia" w:eastAsiaTheme="minorEastAsia"/>
          <w:highlight w:val="none"/>
        </w:rPr>
        <w:t>二、估值对象</w:t>
      </w:r>
    </w:p>
    <w:p w14:paraId="36EB873C">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基金所拥有的目标ETF基金份额、股票（含存托凭证）、债券、股指期货合约、国债期货合约、股票期权合约和银行存款本息、应收款项、资产支持证券、其它投资等资产及负债。</w:t>
      </w:r>
    </w:p>
    <w:bookmarkEnd w:id="360"/>
    <w:p w14:paraId="7F36AC12">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三、估值原则</w:t>
      </w:r>
    </w:p>
    <w:p w14:paraId="32300FBE">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基金管理人在确定相关金融资产和金融负债的公允价值时，应符合</w:t>
      </w:r>
      <w:bookmarkStart w:id="361" w:name="_Hlk103614738"/>
      <w:r>
        <w:rPr>
          <w:rFonts w:hint="eastAsia" w:asciiTheme="minorEastAsia" w:hAnsiTheme="minorEastAsia" w:eastAsiaTheme="minorEastAsia"/>
          <w:highlight w:val="none"/>
        </w:rPr>
        <w:t>《企业会计准则》</w:t>
      </w:r>
      <w:bookmarkEnd w:id="361"/>
      <w:r>
        <w:rPr>
          <w:rFonts w:hint="eastAsia" w:asciiTheme="minorEastAsia" w:hAnsiTheme="minorEastAsia" w:eastAsiaTheme="minorEastAsia"/>
          <w:highlight w:val="none"/>
        </w:rPr>
        <w:t>、监管部门有关规定。</w:t>
      </w:r>
    </w:p>
    <w:p w14:paraId="18972CD8">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A0C1AE6">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E2139AF">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FFCD76">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（三）如经济环境发生重大变化或证券发行人发生影响证券价格的重大事件，使潜在估值调整对前一估值日的基金资产净值的影响在0.25%以上的，应对估值进行调整并确定公允价值。</w:t>
      </w:r>
    </w:p>
    <w:p w14:paraId="48D4D10E">
      <w:pPr>
        <w:spacing w:line="360" w:lineRule="auto"/>
        <w:ind w:firstLine="420" w:firstLineChars="200"/>
        <w:rPr>
          <w:rFonts w:asciiTheme="minorEastAsia" w:hAnsiTheme="minorEastAsia" w:eastAsiaTheme="minorEastAsia"/>
          <w:highlight w:val="none"/>
        </w:rPr>
      </w:pPr>
      <w:bookmarkStart w:id="362" w:name="_Hlk103614993"/>
      <w:r>
        <w:rPr>
          <w:rFonts w:hint="eastAsia" w:asciiTheme="minorEastAsia" w:hAnsiTheme="minorEastAsia" w:eastAsiaTheme="minorEastAsia"/>
          <w:highlight w:val="none"/>
        </w:rPr>
        <w:t>四、估值方法</w:t>
      </w:r>
    </w:p>
    <w:p w14:paraId="0BAF46DB">
      <w:pPr>
        <w:spacing w:line="360" w:lineRule="auto"/>
        <w:ind w:firstLine="420" w:firstLineChars="200"/>
        <w:rPr>
          <w:rFonts w:asciiTheme="minorEastAsia" w:hAnsiTheme="minorEastAsia" w:eastAsiaTheme="minorEastAsia"/>
          <w:highlight w:val="none"/>
        </w:rPr>
      </w:pPr>
      <w:bookmarkStart w:id="363" w:name="_Hlk103350326"/>
      <w:r>
        <w:rPr>
          <w:rFonts w:hint="eastAsia" w:asciiTheme="minorEastAsia" w:hAnsiTheme="minorEastAsia" w:eastAsiaTheme="minorEastAsia"/>
          <w:highlight w:val="none"/>
        </w:rPr>
        <w:t>1、本基金持有的目标ETF基金份额以其当日基金份额净值估值，当日无基金份额净值的，以最近工作日的基金份额净值估值。</w:t>
      </w:r>
    </w:p>
    <w:p w14:paraId="6F383E64">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5BCDCDD">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3、对于已上市或已挂牌转让的不含权固定收益品种，选取估值日第三方估值基准服务机构提供的相应品种当日的估值全价进行估值。</w:t>
      </w:r>
    </w:p>
    <w:p w14:paraId="01770CB1">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4、对于已上市或已挂牌转让的含权固定收益品种，选取估值日第三方估值基准服务机构提供的相应品种当日的唯一估值全价或推荐估值全价进行估值。</w:t>
      </w:r>
    </w:p>
    <w:p w14:paraId="432B3CDB">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74835944">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728C4C7">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6、对于未上市或未挂牌转让且不存在活跃市场的固定收益品种，应采用在当前情况下适用并且有足够可利用数据和其他信息支持的估值技术确定其公允价值。</w:t>
      </w:r>
    </w:p>
    <w:p w14:paraId="4989F386">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7、处于未上市期间的股票应区分如下情况处理：</w:t>
      </w:r>
    </w:p>
    <w:p w14:paraId="42DEEA80">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（1）送股、转增股、配股和公开增发的新股，按估值日在证券交易所挂牌的同一股票的估值方法估值；该日无交易的，以最近一日的市价（收盘价）估值；</w:t>
      </w:r>
    </w:p>
    <w:p w14:paraId="4C2428FC">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（2）首次公开发行未上市的股票，采用估值技术确定公允价值。</w:t>
      </w:r>
    </w:p>
    <w:p w14:paraId="1748BF7F">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9DB0F72">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8、同一证券同时在两个或两个以上市场交易的，按证券所处的市场分别估值。</w:t>
      </w:r>
    </w:p>
    <w:p w14:paraId="47223944">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9、本基金参与股指期货合约、国债期货合约交易，一般以估值当日结算价进行估值，估值当日无结算价的，且最近交易日后经济环境未发生重大变化的，采用最近交易日结算价估值。</w:t>
      </w:r>
    </w:p>
    <w:p w14:paraId="117E927F">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10、本基金投资股票期权，根据相关法律法规以及监管部门的规定估值。</w:t>
      </w:r>
    </w:p>
    <w:p w14:paraId="52808AC6">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11、本基金参与融资及转融通证券出借业务的，应参照行业协会的相关规定进行估值，确保估值的公允性。</w:t>
      </w:r>
    </w:p>
    <w:p w14:paraId="7E3E81CC">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12、本基金投资存托凭证的估值核算，依照境内上市交易的股票执行。</w:t>
      </w:r>
    </w:p>
    <w:p w14:paraId="2C9B2C55">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13、当发生大额申购或赎回情形时，基金管理人可以采用摆动定价机制，以确保基金估值的公平性。具体处理原则与操作规范遵循相关法律法规以及监管部门、自律规则的规定。</w:t>
      </w:r>
    </w:p>
    <w:p w14:paraId="6E92D33B">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14、如有确凿证据表明按上述方法进行估值不能客观反映其公允价值的，基金管理人可根据具体情况与基金托管人商定后，按最能反映公允价值的价格估值。</w:t>
      </w:r>
    </w:p>
    <w:p w14:paraId="7584FF64">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15、相关法律法规以及监管部门有强制规定的，从其规定。如有新增事项，按国家最新规定估值。</w:t>
      </w:r>
    </w:p>
    <w:p w14:paraId="7FB06B0D">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14:paraId="2A8337CE">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根据有关法律法规，基金资产净值计算和基金会计核算的义务由基金管理人承担。本基金的基金会计责任方由基金管理人担任，因此，</w:t>
      </w:r>
      <w:bookmarkStart w:id="364" w:name="_Hlk103614883"/>
      <w:r>
        <w:rPr>
          <w:rFonts w:hint="eastAsia" w:asciiTheme="minorEastAsia" w:hAnsiTheme="minorEastAsia" w:eastAsiaTheme="minorEastAsia"/>
          <w:highlight w:val="none"/>
        </w:rPr>
        <w:t>就与本基金有关的会计问题，如经相关各方在平等基础上充分讨论后，仍无法达成一致的意见，</w:t>
      </w:r>
      <w:r>
        <w:rPr>
          <w:rFonts w:hint="default" w:asciiTheme="minorEastAsia" w:hAnsiTheme="minorEastAsia" w:eastAsiaTheme="minorEastAsia"/>
          <w:sz w:val="21"/>
          <w:szCs w:val="24"/>
          <w:highlight w:val="none"/>
        </w:rPr>
        <w:t>基金管理人向基金托管人出具盖章的书面说明后，</w:t>
      </w:r>
      <w:r>
        <w:rPr>
          <w:rFonts w:hint="eastAsia" w:asciiTheme="minorEastAsia" w:hAnsiTheme="minorEastAsia" w:eastAsiaTheme="minorEastAsia"/>
          <w:highlight w:val="none"/>
        </w:rPr>
        <w:t>按照基金管理人对基金净值的计算结果对外予以公布</w:t>
      </w:r>
      <w:bookmarkEnd w:id="364"/>
      <w:r>
        <w:rPr>
          <w:rFonts w:hint="eastAsia" w:asciiTheme="minorEastAsia" w:hAnsiTheme="minorEastAsia" w:eastAsiaTheme="minorEastAsia"/>
          <w:highlight w:val="none"/>
        </w:rPr>
        <w:t>。</w:t>
      </w:r>
    </w:p>
    <w:bookmarkEnd w:id="362"/>
    <w:bookmarkEnd w:id="363"/>
    <w:p w14:paraId="720391FF">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五、估值程序</w:t>
      </w:r>
    </w:p>
    <w:p w14:paraId="154775C8">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w:t>
      </w:r>
      <w:bookmarkStart w:id="365" w:name="_Hlk103614678"/>
      <w:r>
        <w:rPr>
          <w:rFonts w:hint="eastAsia" w:asciiTheme="minorEastAsia" w:hAnsiTheme="minorEastAsia" w:eastAsiaTheme="minorEastAsia"/>
          <w:highlight w:val="none"/>
        </w:rPr>
        <w:t>各类基金份额净值是按照每个工作日闭市后，各类</w:t>
      </w:r>
      <w:r>
        <w:rPr>
          <w:rFonts w:hint="eastAsia" w:ascii="宋体" w:hAnsi="宋体"/>
          <w:highlight w:val="none"/>
        </w:rPr>
        <w:t>基金份额的</w:t>
      </w:r>
      <w:r>
        <w:rPr>
          <w:rFonts w:hint="eastAsia" w:asciiTheme="minorEastAsia" w:hAnsiTheme="minorEastAsia" w:eastAsiaTheme="minorEastAsia"/>
          <w:highlight w:val="none"/>
        </w:rPr>
        <w:t>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bookmarkEnd w:id="365"/>
    </w:p>
    <w:p w14:paraId="75A27F59">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基金管理人于每个工作日计算基金资产净值及各类基金份额净值，并按规定公告。</w:t>
      </w:r>
    </w:p>
    <w:p w14:paraId="74E26A19">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约定对外公布。</w:t>
      </w:r>
    </w:p>
    <w:p w14:paraId="3BE873B2">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六、估值错误的处理</w:t>
      </w:r>
    </w:p>
    <w:p w14:paraId="06B1223B">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基金管理人和基金托管人将采取必要、适当、合理的措施确保基金资产估值的准确性、及时性。</w:t>
      </w:r>
      <w:bookmarkStart w:id="366" w:name="_Hlk103615193"/>
      <w:r>
        <w:rPr>
          <w:rFonts w:hint="eastAsia" w:asciiTheme="minorEastAsia" w:hAnsiTheme="minorEastAsia" w:eastAsiaTheme="minorEastAsia"/>
          <w:highlight w:val="none"/>
        </w:rPr>
        <w:t>当任一类基金份额净值小数点后4位以内(含第4位)发生估值错误时，视为该类基金份额净值错误。</w:t>
      </w:r>
      <w:bookmarkEnd w:id="366"/>
    </w:p>
    <w:p w14:paraId="25E10DF5">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本基金合同的当事人应按照以下约定处理：</w:t>
      </w:r>
    </w:p>
    <w:p w14:paraId="376D0C1A">
      <w:pPr>
        <w:spacing w:line="360" w:lineRule="auto"/>
        <w:ind w:firstLine="420" w:firstLineChars="200"/>
        <w:rPr>
          <w:rFonts w:asciiTheme="minorEastAsia" w:hAnsiTheme="minorEastAsia" w:eastAsiaTheme="minorEastAsia"/>
          <w:highlight w:val="none"/>
        </w:rPr>
      </w:pPr>
      <w:bookmarkStart w:id="367" w:name="_Hlk103615252"/>
      <w:r>
        <w:rPr>
          <w:rFonts w:hint="eastAsia" w:asciiTheme="minorEastAsia" w:hAnsiTheme="minorEastAsia" w:eastAsiaTheme="minorEastAsia"/>
          <w:highlight w:val="none"/>
        </w:rPr>
        <w:t>1、估值错误类型</w:t>
      </w:r>
    </w:p>
    <w:p w14:paraId="0A9ABC67">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A747893">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上述估值错误的主要类型包括但不限于：资料申报差错、数据传输差错、数据计算差错、系统故障差错、下达指令差错等。</w:t>
      </w:r>
    </w:p>
    <w:p w14:paraId="7CD07937">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2、估值错误处理原则</w:t>
      </w:r>
    </w:p>
    <w:p w14:paraId="433E9DA6">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210647">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（2）估值错误的责任方对有关当事人的直接损失负责，不对间接损失负责，并且仅对估值错误的有关直接当事人负责，不对第三方负责。</w:t>
      </w:r>
    </w:p>
    <w:p w14:paraId="391EC147">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76BC59">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（4）估值错误调整采用尽量恢复至假设未发生估值错误的正确情形的方式。</w:t>
      </w:r>
    </w:p>
    <w:p w14:paraId="33D47D89">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3、估值错误处理程序</w:t>
      </w:r>
    </w:p>
    <w:p w14:paraId="121C28AB">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估值错误被发现后，有关的当事人应当及时进行处理，处理的程序如下：</w:t>
      </w:r>
    </w:p>
    <w:p w14:paraId="3528BE03">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（1）查明估值错误发生的原因，列明所有的当事人，并根据估值错误发生的原因确定估值错误的责任方；</w:t>
      </w:r>
    </w:p>
    <w:p w14:paraId="6CA91E3C">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（2）根据估值错误处理原则或当事人协商的方法对因估值错误造成的损失进行评估；</w:t>
      </w:r>
    </w:p>
    <w:p w14:paraId="4DBF5BEE">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（3）根据估值错误处理原则或当事人协商的方法由估值错误的责任方进行更正和赔偿损失；</w:t>
      </w:r>
    </w:p>
    <w:p w14:paraId="7A3CD1C2">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（4）根据估值错误处理的方法，需要修改基金登记机构交易数据的，由基金登记机构进行更正，并就估值错误的更正向有关当事人进行确认。</w:t>
      </w:r>
    </w:p>
    <w:p w14:paraId="78F700DB">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4、基金份额净值估值错误处理的方法如下：</w:t>
      </w:r>
    </w:p>
    <w:p w14:paraId="0983C480">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（1）基金份额净值计算出现错误时，基金管理人应当立即予以纠正，通报基金托管人，并采取合理的措施防止损失进一步扩大。</w:t>
      </w:r>
    </w:p>
    <w:p w14:paraId="1F71CEB5">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（2）错误偏差达到该类基金份额净值的0.25%时，基金管理人应当通报基金托管人并报中国证监会备案；错误偏差达到该类基金份额净值的0.5%时，基金管理人应当公告，并报中国证监会备案。</w:t>
      </w:r>
    </w:p>
    <w:p w14:paraId="74E5E87D">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（3）基金管理人和基金托管人由于各自技术系统设置而产生的净值计算尾差，以基金管理人计算结果为准。</w:t>
      </w:r>
    </w:p>
    <w:p w14:paraId="687A4150">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（4）前述内容如法律法规或者监管部门另有规定的，从其规定。如果行业另有通行做法，基金管理人和基金托管人应本着平等和保护基金份额持有人利益的原则进行协商。</w:t>
      </w:r>
    </w:p>
    <w:p w14:paraId="732DA42B">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七、暂停估值的情形</w:t>
      </w:r>
    </w:p>
    <w:p w14:paraId="01A41C33">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1、基金投资所涉及的证券/期货交易市场遇法定节假日或因其他原因暂停营业时；</w:t>
      </w:r>
    </w:p>
    <w:p w14:paraId="685EEFD2">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2、因不可抗力或者其他情形致使基金管理人、基金托管人无法准确评估基金资产价值时；</w:t>
      </w:r>
    </w:p>
    <w:p w14:paraId="27866C2C">
      <w:pPr>
        <w:spacing w:line="360" w:lineRule="auto"/>
        <w:ind w:firstLine="420" w:firstLineChars="200"/>
        <w:rPr>
          <w:rFonts w:asciiTheme="minorEastAsia" w:hAnsiTheme="minorEastAsia" w:eastAsiaTheme="minorEastAsia"/>
          <w:highlight w:val="none"/>
        </w:rPr>
      </w:pPr>
      <w:bookmarkStart w:id="368" w:name="_Hlk186896180"/>
      <w:r>
        <w:rPr>
          <w:rFonts w:hint="eastAsia" w:asciiTheme="minorEastAsia" w:hAnsiTheme="minorEastAsia" w:eastAsiaTheme="minorEastAsia"/>
          <w:highlight w:val="none"/>
        </w:rPr>
        <w:t>3、所投资的目标ETF暂停估值、暂停公告基金份额净值时；</w:t>
      </w:r>
    </w:p>
    <w:p w14:paraId="0AC835CF">
      <w:pPr>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、当特定资产占前一估值日基金资产净值50%以上的，经与基金托管人协商确认后，基金管理人应当暂停估值；</w:t>
      </w:r>
    </w:p>
    <w:bookmarkEnd w:id="368"/>
    <w:p w14:paraId="4E45CDEB">
      <w:pPr>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w:t>
      </w:r>
      <w:bookmarkStart w:id="369" w:name="_Hlk186896208"/>
      <w:r>
        <w:rPr>
          <w:rFonts w:hint="eastAsia" w:asciiTheme="minorEastAsia" w:hAnsiTheme="minorEastAsia" w:eastAsiaTheme="minorEastAsia"/>
          <w:highlight w:val="none"/>
        </w:rPr>
        <w:t>法律法规、</w:t>
      </w:r>
      <w:bookmarkEnd w:id="369"/>
      <w:r>
        <w:rPr>
          <w:rFonts w:hint="eastAsia" w:asciiTheme="minorEastAsia" w:hAnsiTheme="minorEastAsia" w:eastAsiaTheme="minorEastAsia"/>
          <w:highlight w:val="none"/>
        </w:rPr>
        <w:t>中国证监会和基金合同认定的其它情形。</w:t>
      </w:r>
    </w:p>
    <w:bookmarkEnd w:id="367"/>
    <w:p w14:paraId="7D5441CE">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八、基金净值的确认</w:t>
      </w:r>
    </w:p>
    <w:p w14:paraId="4B265F39">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59541A1E">
      <w:pPr>
        <w:spacing w:line="360" w:lineRule="auto"/>
        <w:ind w:firstLine="420" w:firstLineChars="200"/>
        <w:rPr>
          <w:rFonts w:asciiTheme="minorEastAsia" w:hAnsiTheme="minorEastAsia" w:eastAsiaTheme="minorEastAsia"/>
          <w:highlight w:val="none"/>
        </w:rPr>
      </w:pPr>
      <w:bookmarkStart w:id="370" w:name="_Hlk103615364"/>
      <w:r>
        <w:rPr>
          <w:rFonts w:hint="eastAsia" w:asciiTheme="minorEastAsia" w:hAnsiTheme="minorEastAsia" w:eastAsiaTheme="minorEastAsia"/>
          <w:highlight w:val="none"/>
        </w:rPr>
        <w:t>九、特殊情况的处理</w:t>
      </w:r>
    </w:p>
    <w:p w14:paraId="690D3760">
      <w:pPr>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1、基金管理人或基金托管人按估值方法的第14项进行估值时，所造成的误差不作为基金资产估值错误处理。</w:t>
      </w:r>
    </w:p>
    <w:p w14:paraId="74ED38A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2、由于</w:t>
      </w:r>
      <w:bookmarkStart w:id="371" w:name="_Hlk186896121"/>
      <w:r>
        <w:rPr>
          <w:rFonts w:hint="eastAsia" w:asciiTheme="minorEastAsia" w:hAnsiTheme="minorEastAsia" w:eastAsiaTheme="minorEastAsia"/>
          <w:highlight w:val="none"/>
        </w:rPr>
        <w:t>不可抗力原因，或由于证券、期货交易所、指数编制机构及登记结算公司等机构发送的数据错误等非基金管理人与基金托管人原因</w:t>
      </w:r>
      <w:bookmarkEnd w:id="371"/>
      <w:r>
        <w:rPr>
          <w:rFonts w:hint="eastAsia" w:asciiTheme="minorEastAsia" w:hAnsiTheme="minorEastAsia" w:eastAsiaTheme="minorEastAsia"/>
          <w:highlight w:val="none"/>
        </w:rPr>
        <w:t>，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bookmarkEnd w:id="370"/>
    <w:p w14:paraId="5FA4B79C">
      <w:pPr>
        <w:adjustRightInd w:val="0"/>
        <w:snapToGrid w:val="0"/>
        <w:spacing w:line="360" w:lineRule="auto"/>
        <w:ind w:firstLine="420" w:firstLineChars="200"/>
        <w:rPr>
          <w:rFonts w:asciiTheme="minorEastAsia" w:hAnsiTheme="minorEastAsia" w:eastAsiaTheme="minorEastAsia"/>
          <w:highlight w:val="none"/>
        </w:rPr>
      </w:pPr>
      <w:bookmarkStart w:id="372" w:name="_Toc15779"/>
      <w:bookmarkStart w:id="373" w:name="_Toc6493"/>
      <w:bookmarkStart w:id="374" w:name="_Toc24601"/>
      <w:bookmarkStart w:id="375" w:name="_Toc12105"/>
      <w:bookmarkStart w:id="376" w:name="_Toc3365"/>
      <w:bookmarkStart w:id="377" w:name="_Toc32041"/>
      <w:bookmarkStart w:id="378" w:name="_Toc13987"/>
      <w:bookmarkStart w:id="379" w:name="_Toc19706"/>
      <w:bookmarkStart w:id="380" w:name="_Toc32227"/>
      <w:bookmarkStart w:id="381" w:name="_Toc19752"/>
      <w:r>
        <w:rPr>
          <w:rFonts w:hint="eastAsia" w:asciiTheme="minorEastAsia" w:hAnsiTheme="minorEastAsia" w:eastAsiaTheme="minorEastAsia"/>
          <w:highlight w:val="none"/>
        </w:rPr>
        <w:t>十、实施侧袋机制期间的基金资产估值</w:t>
      </w:r>
    </w:p>
    <w:p w14:paraId="193CB40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本基金实施侧袋机制的，应根据本部分的约定对主袋账户资产进行估值并披露主袋账户的基金净值信息，暂停披露侧袋账户份额净值。</w:t>
      </w:r>
    </w:p>
    <w:p w14:paraId="5456F654">
      <w:pPr>
        <w:adjustRightInd w:val="0"/>
        <w:snapToGrid w:val="0"/>
        <w:spacing w:line="360" w:lineRule="auto"/>
        <w:ind w:firstLine="420" w:firstLineChars="200"/>
        <w:rPr>
          <w:rFonts w:asciiTheme="minorEastAsia" w:hAnsiTheme="minorEastAsia" w:eastAsiaTheme="minorEastAsia"/>
          <w:highlight w:val="none"/>
        </w:rPr>
      </w:pPr>
    </w:p>
    <w:p w14:paraId="607A03E7">
      <w:pPr>
        <w:pStyle w:val="3"/>
        <w:adjustRightInd w:val="0"/>
        <w:snapToGrid w:val="0"/>
        <w:spacing w:before="0" w:after="0" w:line="360" w:lineRule="auto"/>
        <w:rPr>
          <w:rFonts w:asciiTheme="minorEastAsia" w:hAnsiTheme="minorEastAsia" w:eastAsiaTheme="minorEastAsia"/>
          <w:sz w:val="21"/>
          <w:highlight w:val="none"/>
        </w:rPr>
        <w:sectPr>
          <w:footerReference r:id="rId19" w:type="default"/>
          <w:pgSz w:w="11906" w:h="16838"/>
          <w:pgMar w:top="1418" w:right="1701" w:bottom="1418" w:left="1701" w:header="851" w:footer="992" w:gutter="0"/>
          <w:pgNumType w:start="1"/>
          <w:cols w:space="425" w:num="1"/>
          <w:formProt w:val="0"/>
          <w:docGrid w:type="lines" w:linePitch="312" w:charSpace="0"/>
        </w:sectPr>
      </w:pPr>
      <w:bookmarkStart w:id="382" w:name="_Toc90742332"/>
      <w:bookmarkStart w:id="383" w:name="_Toc90742401"/>
    </w:p>
    <w:bookmarkEnd w:id="355"/>
    <w:p w14:paraId="64B28208">
      <w:pPr>
        <w:pStyle w:val="3"/>
        <w:adjustRightInd w:val="0"/>
        <w:snapToGrid w:val="0"/>
        <w:spacing w:before="312" w:beforeLines="100" w:after="0" w:line="360" w:lineRule="auto"/>
        <w:rPr>
          <w:rFonts w:asciiTheme="minorEastAsia" w:hAnsiTheme="minorEastAsia" w:eastAsiaTheme="minorEastAsia"/>
          <w:sz w:val="21"/>
          <w:highlight w:val="none"/>
        </w:rPr>
      </w:pPr>
      <w:bookmarkStart w:id="384" w:name="_Toc16237240"/>
      <w:bookmarkStart w:id="385" w:name="CLAUSE_4160d57082f24892a414e74b190fe07e"/>
      <w:r>
        <w:rPr>
          <w:rFonts w:hint="eastAsia" w:cs="Arial" w:asciiTheme="minorEastAsia" w:hAnsiTheme="minorEastAsia" w:eastAsiaTheme="minorEastAsia"/>
          <w:sz w:val="21"/>
          <w:szCs w:val="21"/>
          <w:highlight w:val="none"/>
        </w:rPr>
        <w:t xml:space="preserve">第十五部分 </w:t>
      </w:r>
      <w:bookmarkStart w:id="386" w:name="CTS_4160d57082f24892a414e74b190fe07e"/>
      <w:bookmarkEnd w:id="386"/>
      <w:r>
        <w:rPr>
          <w:rFonts w:asciiTheme="minorEastAsia" w:hAnsiTheme="minorEastAsia" w:eastAsiaTheme="minorEastAsia"/>
          <w:sz w:val="21"/>
          <w:highlight w:val="none"/>
        </w:rPr>
        <w:t>基金</w:t>
      </w:r>
      <w:r>
        <w:rPr>
          <w:rFonts w:hint="eastAsia" w:asciiTheme="minorEastAsia" w:hAnsiTheme="minorEastAsia" w:eastAsiaTheme="minorEastAsia"/>
          <w:sz w:val="21"/>
          <w:highlight w:val="none"/>
        </w:rPr>
        <w:t>费用与税收</w:t>
      </w:r>
      <w:bookmarkEnd w:id="357"/>
      <w:bookmarkEnd w:id="358"/>
      <w:bookmarkEnd w:id="359"/>
      <w:bookmarkEnd w:id="372"/>
      <w:bookmarkEnd w:id="373"/>
      <w:bookmarkEnd w:id="374"/>
      <w:bookmarkEnd w:id="375"/>
      <w:bookmarkEnd w:id="376"/>
      <w:bookmarkEnd w:id="377"/>
      <w:bookmarkEnd w:id="378"/>
      <w:bookmarkEnd w:id="379"/>
      <w:bookmarkEnd w:id="380"/>
      <w:bookmarkEnd w:id="381"/>
      <w:bookmarkEnd w:id="382"/>
      <w:bookmarkEnd w:id="383"/>
      <w:bookmarkEnd w:id="384"/>
    </w:p>
    <w:p w14:paraId="2419CC9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一、基金费用的种类</w:t>
      </w:r>
    </w:p>
    <w:p w14:paraId="79CE9E4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基金管理人的管理费；</w:t>
      </w:r>
    </w:p>
    <w:p w14:paraId="1F387AC3">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基金托管人的托管费；</w:t>
      </w:r>
    </w:p>
    <w:p w14:paraId="5B46977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3.C类基金份额的销售服务费；</w:t>
      </w:r>
    </w:p>
    <w:p w14:paraId="57B3E26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w:t>
      </w:r>
      <w:r>
        <w:rPr>
          <w:rFonts w:asciiTheme="minorEastAsia" w:hAnsiTheme="minorEastAsia" w:eastAsiaTheme="minorEastAsia"/>
          <w:highlight w:val="none"/>
        </w:rPr>
        <w:t>.</w:t>
      </w: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w:t>
      </w:r>
      <w:r>
        <w:rPr>
          <w:rFonts w:asciiTheme="minorEastAsia" w:hAnsiTheme="minorEastAsia" w:eastAsiaTheme="minorEastAsia"/>
          <w:highlight w:val="none"/>
        </w:rPr>
        <w:t>生效后</w:t>
      </w:r>
      <w:r>
        <w:rPr>
          <w:rFonts w:hint="eastAsia" w:asciiTheme="minorEastAsia" w:hAnsiTheme="minorEastAsia" w:eastAsiaTheme="minorEastAsia"/>
          <w:highlight w:val="none"/>
        </w:rPr>
        <w:t>与</w:t>
      </w:r>
      <w:r>
        <w:rPr>
          <w:rFonts w:asciiTheme="minorEastAsia" w:hAnsiTheme="minorEastAsia" w:eastAsiaTheme="minorEastAsia"/>
          <w:highlight w:val="none"/>
        </w:rPr>
        <w:t>基金</w:t>
      </w:r>
      <w:r>
        <w:rPr>
          <w:rFonts w:hint="eastAsia" w:asciiTheme="minorEastAsia" w:hAnsiTheme="minorEastAsia" w:eastAsiaTheme="minorEastAsia"/>
          <w:highlight w:val="none"/>
        </w:rPr>
        <w:t>相关的</w:t>
      </w:r>
      <w:r>
        <w:rPr>
          <w:rFonts w:asciiTheme="minorEastAsia" w:hAnsiTheme="minorEastAsia" w:eastAsiaTheme="minorEastAsia"/>
          <w:highlight w:val="none"/>
        </w:rPr>
        <w:t>信息披露费用</w:t>
      </w:r>
      <w:r>
        <w:rPr>
          <w:rFonts w:hint="eastAsia" w:asciiTheme="minorEastAsia" w:hAnsiTheme="minorEastAsia" w:eastAsiaTheme="minorEastAsia"/>
          <w:highlight w:val="none"/>
        </w:rPr>
        <w:t>，法律法规、中国证监会另有规定的除外</w:t>
      </w:r>
      <w:r>
        <w:rPr>
          <w:rFonts w:asciiTheme="minorEastAsia" w:hAnsiTheme="minorEastAsia" w:eastAsiaTheme="minorEastAsia"/>
          <w:highlight w:val="none"/>
        </w:rPr>
        <w:t>；</w:t>
      </w:r>
    </w:p>
    <w:p w14:paraId="658C4E5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w:t>
      </w:r>
      <w:r>
        <w:rPr>
          <w:rFonts w:asciiTheme="minorEastAsia" w:hAnsiTheme="minorEastAsia" w:eastAsiaTheme="minorEastAsia"/>
          <w:highlight w:val="none"/>
        </w:rPr>
        <w:t>.</w:t>
      </w: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》生效后与基金相</w:t>
      </w:r>
      <w:r>
        <w:rPr>
          <w:rFonts w:asciiTheme="minorEastAsia" w:hAnsiTheme="minorEastAsia" w:eastAsiaTheme="minorEastAsia"/>
          <w:highlight w:val="none"/>
        </w:rPr>
        <w:t>关</w:t>
      </w:r>
      <w:r>
        <w:rPr>
          <w:rFonts w:hint="eastAsia" w:asciiTheme="minorEastAsia" w:hAnsiTheme="minorEastAsia" w:eastAsiaTheme="minorEastAsia"/>
          <w:highlight w:val="none"/>
        </w:rPr>
        <w:t>的会计师费、公证费、审计费、律师费、仲裁费和诉讼费；</w:t>
      </w:r>
    </w:p>
    <w:p w14:paraId="311FA32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6.基金份额持有人大会费用；</w:t>
      </w:r>
    </w:p>
    <w:p w14:paraId="6EC3E55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w:t>
      </w:r>
      <w:r>
        <w:rPr>
          <w:rFonts w:asciiTheme="minorEastAsia" w:hAnsiTheme="minorEastAsia" w:eastAsiaTheme="minorEastAsia"/>
          <w:highlight w:val="none"/>
        </w:rPr>
        <w:t>.</w:t>
      </w:r>
      <w:r>
        <w:rPr>
          <w:rFonts w:hint="eastAsia" w:asciiTheme="minorEastAsia" w:hAnsiTheme="minorEastAsia" w:eastAsiaTheme="minorEastAsia"/>
          <w:highlight w:val="none"/>
        </w:rPr>
        <w:t>基金的证券、期货、期权交易费用；</w:t>
      </w:r>
    </w:p>
    <w:p w14:paraId="5D60219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w:t>
      </w:r>
      <w:r>
        <w:rPr>
          <w:rFonts w:asciiTheme="minorEastAsia" w:hAnsiTheme="minorEastAsia" w:eastAsiaTheme="minorEastAsia"/>
          <w:highlight w:val="none"/>
        </w:rPr>
        <w:t>.基金</w:t>
      </w:r>
      <w:r>
        <w:rPr>
          <w:rFonts w:hint="eastAsia" w:asciiTheme="minorEastAsia" w:hAnsiTheme="minorEastAsia" w:eastAsiaTheme="minorEastAsia"/>
          <w:highlight w:val="none"/>
        </w:rPr>
        <w:t>的银行汇划费用</w:t>
      </w:r>
      <w:r>
        <w:rPr>
          <w:rFonts w:asciiTheme="minorEastAsia" w:hAnsiTheme="minorEastAsia" w:eastAsiaTheme="minorEastAsia"/>
          <w:highlight w:val="none"/>
        </w:rPr>
        <w:t>；</w:t>
      </w:r>
    </w:p>
    <w:p w14:paraId="63A69C0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9.账户开户费用、账户维护费用；</w:t>
      </w:r>
    </w:p>
    <w:p w14:paraId="344EA3E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w:t>
      </w:r>
      <w:bookmarkStart w:id="387" w:name="_Hlk103351281"/>
      <w:r>
        <w:rPr>
          <w:rFonts w:hint="eastAsia" w:asciiTheme="minorEastAsia" w:hAnsiTheme="minorEastAsia" w:eastAsiaTheme="minorEastAsia"/>
          <w:highlight w:val="none"/>
        </w:rPr>
        <w:t>基金投资目标ETF的相关费用</w:t>
      </w:r>
      <w:bookmarkEnd w:id="387"/>
      <w:r>
        <w:rPr>
          <w:rFonts w:hint="eastAsia" w:asciiTheme="minorEastAsia" w:hAnsiTheme="minorEastAsia" w:eastAsiaTheme="minorEastAsia"/>
          <w:highlight w:val="none"/>
        </w:rPr>
        <w:t>（包括但不限于目标ETF的交易费用、申购赎回费用等）；</w:t>
      </w:r>
    </w:p>
    <w:p w14:paraId="4CA330D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11.按照国家有关规定和《基金合同》约定，可以在基金财产中列支的其他费用。</w:t>
      </w:r>
    </w:p>
    <w:p w14:paraId="20642468">
      <w:pPr>
        <w:adjustRightInd w:val="0"/>
        <w:snapToGrid w:val="0"/>
        <w:spacing w:line="360" w:lineRule="auto"/>
        <w:ind w:firstLine="420" w:firstLineChars="200"/>
        <w:rPr>
          <w:rFonts w:asciiTheme="minorEastAsia" w:hAnsiTheme="minorEastAsia" w:eastAsiaTheme="minorEastAsia"/>
          <w:highlight w:val="none"/>
        </w:rPr>
      </w:pPr>
      <w:bookmarkStart w:id="388" w:name="_Hlk103615848"/>
      <w:r>
        <w:rPr>
          <w:rFonts w:hint="eastAsia" w:asciiTheme="minorEastAsia" w:hAnsiTheme="minorEastAsia" w:eastAsiaTheme="minorEastAsia"/>
          <w:highlight w:val="none"/>
        </w:rPr>
        <w:t>二、基金费用计提方法、计提标准和支付方式</w:t>
      </w:r>
    </w:p>
    <w:p w14:paraId="2E077A1B">
      <w:pPr>
        <w:adjustRightInd w:val="0"/>
        <w:snapToGrid w:val="0"/>
        <w:spacing w:line="360" w:lineRule="auto"/>
        <w:ind w:firstLine="420" w:firstLineChars="200"/>
        <w:rPr>
          <w:rFonts w:asciiTheme="minorEastAsia" w:hAnsiTheme="minorEastAsia" w:eastAsiaTheme="minorEastAsia"/>
          <w:highlight w:val="none"/>
        </w:rPr>
      </w:pPr>
      <w:bookmarkStart w:id="389" w:name="_Hlk103615996"/>
      <w:r>
        <w:rPr>
          <w:rFonts w:asciiTheme="minorEastAsia" w:hAnsiTheme="minorEastAsia" w:eastAsiaTheme="minorEastAsia"/>
          <w:highlight w:val="none"/>
        </w:rPr>
        <w:t>1.</w:t>
      </w:r>
      <w:r>
        <w:rPr>
          <w:rFonts w:hint="eastAsia" w:asciiTheme="minorEastAsia" w:hAnsiTheme="minorEastAsia" w:eastAsiaTheme="minorEastAsia"/>
          <w:highlight w:val="none"/>
        </w:rPr>
        <w:t>基金管理人的管理费</w:t>
      </w:r>
    </w:p>
    <w:p w14:paraId="78DB805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本基金管理费按前一日基金资产净值的0.50%年费率计提。管理费的计算方法如下：</w:t>
      </w:r>
    </w:p>
    <w:p w14:paraId="536B392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H＝E×年管理费率÷当年天数</w:t>
      </w:r>
    </w:p>
    <w:p w14:paraId="2F991CB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H为每日应计提的基金管理费</w:t>
      </w:r>
    </w:p>
    <w:p w14:paraId="3DD2E1A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E为前一日的基金资产净值</w:t>
      </w:r>
    </w:p>
    <w:p w14:paraId="05A8D40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基金管理人对本基金投资组合中投资于目标ETF部分的基金资产净值不计提基金管理费。</w:t>
      </w:r>
    </w:p>
    <w:p w14:paraId="394FEBC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前一日的基金资产净值为已扣除本基金投资于目标ETF部分基金资产净值后的净额，金额为负时以零计。</w:t>
      </w:r>
    </w:p>
    <w:p w14:paraId="1C0FD96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7D836FE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基金托管人的托管费</w:t>
      </w:r>
    </w:p>
    <w:p w14:paraId="45E8D7B3">
      <w:pPr>
        <w:adjustRightInd w:val="0"/>
        <w:snapToGrid w:val="0"/>
        <w:spacing w:line="360" w:lineRule="auto"/>
        <w:ind w:firstLine="420" w:firstLineChars="200"/>
        <w:rPr>
          <w:rFonts w:asciiTheme="minorEastAsia" w:hAnsiTheme="minorEastAsia" w:eastAsiaTheme="minorEastAsia"/>
          <w:highlight w:val="none"/>
        </w:rPr>
      </w:pPr>
      <w:bookmarkStart w:id="390" w:name="_Hlk103350925"/>
      <w:r>
        <w:rPr>
          <w:rFonts w:hint="eastAsia" w:asciiTheme="minorEastAsia" w:hAnsiTheme="minorEastAsia" w:eastAsiaTheme="minorEastAsia"/>
          <w:highlight w:val="none"/>
        </w:rPr>
        <w:t>基金托管费按前一日基金资产净值的0.10%年费率计提。托管费的计算方法如下：</w:t>
      </w:r>
    </w:p>
    <w:p w14:paraId="20D96FB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H＝E×年托管费率÷当年天数</w:t>
      </w:r>
    </w:p>
    <w:p w14:paraId="269DF2F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H为每日应计提的基金托管费</w:t>
      </w:r>
    </w:p>
    <w:p w14:paraId="6429220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E为前一日的基金资产净值</w:t>
      </w:r>
    </w:p>
    <w:p w14:paraId="5E9311A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基金托管人对本基金投资组合中投资于目标ETF部分的基金资产净值不计提基金托管费。</w:t>
      </w:r>
    </w:p>
    <w:p w14:paraId="67C935C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前一日的基金资产净值为已扣除本基金投资于目标ETF部分基金资产净值后的净额，金额为负时以零计。</w:t>
      </w:r>
    </w:p>
    <w:bookmarkEnd w:id="390"/>
    <w:p w14:paraId="1D6A884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586AE32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3.C类基金份额的</w:t>
      </w:r>
      <w:r>
        <w:rPr>
          <w:rFonts w:hint="eastAsia" w:asciiTheme="minorEastAsia" w:hAnsiTheme="minorEastAsia" w:eastAsiaTheme="minorEastAsia"/>
          <w:highlight w:val="none"/>
        </w:rPr>
        <w:t>销售服务费</w:t>
      </w:r>
    </w:p>
    <w:p w14:paraId="40086EEC">
      <w:pPr>
        <w:adjustRightInd w:val="0"/>
        <w:snapToGrid w:val="0"/>
        <w:spacing w:line="360" w:lineRule="auto"/>
        <w:ind w:firstLine="420" w:firstLineChars="200"/>
        <w:rPr>
          <w:rFonts w:asciiTheme="minorEastAsia" w:hAnsiTheme="minorEastAsia" w:eastAsiaTheme="minorEastAsia"/>
          <w:highlight w:val="none"/>
        </w:rPr>
      </w:pPr>
      <w:bookmarkStart w:id="391" w:name="_Hlk103351070"/>
      <w:r>
        <w:rPr>
          <w:rFonts w:hint="eastAsia" w:asciiTheme="minorEastAsia" w:hAnsiTheme="minorEastAsia" w:eastAsiaTheme="minorEastAsia"/>
          <w:highlight w:val="none"/>
        </w:rPr>
        <w:t>本基金</w:t>
      </w:r>
      <w:r>
        <w:rPr>
          <w:rFonts w:asciiTheme="minorEastAsia" w:hAnsiTheme="minorEastAsia" w:eastAsiaTheme="minorEastAsia"/>
          <w:highlight w:val="none"/>
        </w:rPr>
        <w:t>A类基金份额不收取销售服务费，C</w:t>
      </w:r>
      <w:r>
        <w:rPr>
          <w:rFonts w:hint="eastAsia" w:asciiTheme="minorEastAsia" w:hAnsiTheme="minorEastAsia" w:eastAsiaTheme="minorEastAsia"/>
          <w:highlight w:val="none"/>
        </w:rPr>
        <w:t>类基金份额的销售服务费年费率为</w:t>
      </w:r>
      <w:r>
        <w:rPr>
          <w:rFonts w:asciiTheme="minorEastAsia" w:hAnsiTheme="minorEastAsia" w:eastAsiaTheme="minorEastAsia"/>
          <w:highlight w:val="none"/>
        </w:rPr>
        <w:t>0.</w:t>
      </w:r>
      <w:r>
        <w:rPr>
          <w:rFonts w:hint="eastAsia" w:asciiTheme="minorEastAsia" w:hAnsiTheme="minorEastAsia" w:eastAsiaTheme="minorEastAsia"/>
          <w:highlight w:val="none"/>
        </w:rPr>
        <w:t>30</w:t>
      </w:r>
      <w:r>
        <w:rPr>
          <w:rFonts w:asciiTheme="minorEastAsia" w:hAnsiTheme="minorEastAsia" w:eastAsiaTheme="minorEastAsia"/>
          <w:highlight w:val="none"/>
        </w:rPr>
        <w:t>%</w:t>
      </w:r>
      <w:r>
        <w:rPr>
          <w:rFonts w:hint="eastAsia" w:asciiTheme="minorEastAsia" w:hAnsiTheme="minorEastAsia" w:eastAsiaTheme="minorEastAsia"/>
          <w:highlight w:val="none"/>
        </w:rPr>
        <w:t>。</w:t>
      </w:r>
    </w:p>
    <w:p w14:paraId="27F4EEA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本基金销售服务费按前一日</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类基金份额的基金资产净值的</w:t>
      </w:r>
      <w:r>
        <w:rPr>
          <w:rFonts w:asciiTheme="minorEastAsia" w:hAnsiTheme="minorEastAsia" w:eastAsiaTheme="minorEastAsia"/>
          <w:highlight w:val="none"/>
        </w:rPr>
        <w:t>0.</w:t>
      </w:r>
      <w:r>
        <w:rPr>
          <w:rFonts w:hint="eastAsia" w:asciiTheme="minorEastAsia" w:hAnsiTheme="minorEastAsia" w:eastAsiaTheme="minorEastAsia"/>
          <w:highlight w:val="none"/>
        </w:rPr>
        <w:t>30</w:t>
      </w:r>
      <w:r>
        <w:rPr>
          <w:rFonts w:asciiTheme="minorEastAsia" w:hAnsiTheme="minorEastAsia" w:eastAsiaTheme="minorEastAsia"/>
          <w:highlight w:val="none"/>
        </w:rPr>
        <w:t>%</w:t>
      </w:r>
      <w:r>
        <w:rPr>
          <w:rFonts w:hint="eastAsia" w:asciiTheme="minorEastAsia" w:hAnsiTheme="minorEastAsia" w:eastAsiaTheme="minorEastAsia"/>
          <w:highlight w:val="none"/>
        </w:rPr>
        <w:t>年费率计提。销售服务费的计算方法如下：</w:t>
      </w:r>
      <w:r>
        <w:rPr>
          <w:rFonts w:asciiTheme="minorEastAsia" w:hAnsiTheme="minorEastAsia" w:eastAsiaTheme="minorEastAsia"/>
          <w:highlight w:val="none"/>
        </w:rPr>
        <w:t xml:space="preserve"> </w:t>
      </w:r>
    </w:p>
    <w:p w14:paraId="39A4610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H=E</w:t>
      </w:r>
      <w:r>
        <w:rPr>
          <w:rFonts w:hint="eastAsia" w:asciiTheme="minorEastAsia" w:hAnsiTheme="minorEastAsia" w:eastAsiaTheme="minorEastAsia"/>
          <w:highlight w:val="none"/>
        </w:rPr>
        <w:t>×年销售服务费率÷当年天数</w:t>
      </w:r>
    </w:p>
    <w:p w14:paraId="4A7A461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H</w:t>
      </w:r>
      <w:r>
        <w:rPr>
          <w:rFonts w:hint="eastAsia" w:asciiTheme="minorEastAsia" w:hAnsiTheme="minorEastAsia" w:eastAsiaTheme="minorEastAsia"/>
          <w:highlight w:val="none"/>
        </w:rPr>
        <w:t>为</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类基金份额每日应计提的销售服务费</w:t>
      </w:r>
    </w:p>
    <w:p w14:paraId="421D6BD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E</w:t>
      </w:r>
      <w:r>
        <w:rPr>
          <w:rFonts w:hint="eastAsia" w:asciiTheme="minorEastAsia" w:hAnsiTheme="minorEastAsia" w:eastAsiaTheme="minorEastAsia"/>
          <w:highlight w:val="none"/>
        </w:rPr>
        <w:t>为</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类基金份额前一日基金资产净值</w:t>
      </w:r>
    </w:p>
    <w:p w14:paraId="3E03087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销售服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bookmarkEnd w:id="388"/>
    <w:bookmarkEnd w:id="389"/>
    <w:bookmarkEnd w:id="391"/>
    <w:p w14:paraId="440744B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上述“一、基金费用的种类”中第4－11项费用，根据有关法规及相应协议规定，按费用实际支出金额列入当期费用，由基金托管人从基金财产中支付。</w:t>
      </w:r>
    </w:p>
    <w:p w14:paraId="1763896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三、不列入基金费用的项目</w:t>
      </w:r>
      <w:r>
        <w:rPr>
          <w:rFonts w:asciiTheme="minorEastAsia" w:hAnsiTheme="minorEastAsia" w:eastAsiaTheme="minorEastAsia"/>
          <w:highlight w:val="none"/>
        </w:rPr>
        <w:tab/>
      </w:r>
    </w:p>
    <w:p w14:paraId="658D997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1、基金管理人和基金托管人因未履行或未完全履行义务导致的费用支出或基金财产的损失；</w:t>
      </w:r>
    </w:p>
    <w:p w14:paraId="0EAB659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2、基金管理人和基金托管人处理与基金运作无关的事项发生的费用；</w:t>
      </w:r>
    </w:p>
    <w:p w14:paraId="70346EA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3、《基金合同》生效前的相关费用；</w:t>
      </w:r>
    </w:p>
    <w:p w14:paraId="5BCDFF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4、指数许可使用费；</w:t>
      </w:r>
    </w:p>
    <w:p w14:paraId="139C498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5、其他根据相关法律法规及中国证监会的有关规定不得列入基金费用的项目。</w:t>
      </w:r>
    </w:p>
    <w:p w14:paraId="06CC555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四、实施侧袋机制期间的基金费用</w:t>
      </w:r>
    </w:p>
    <w:p w14:paraId="4FBE44D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本基金实施侧袋机制的，与侧袋账户有关的费用可以从侧袋账户中列支，但应待侧袋账户资产变现后方可列支，有关费用可酌情收取或减免，但不得收取管理费，详见招募说明书的规定。</w:t>
      </w:r>
    </w:p>
    <w:p w14:paraId="00DD124E">
      <w:pPr>
        <w:adjustRightInd w:val="0"/>
        <w:snapToGrid w:val="0"/>
        <w:spacing w:line="360" w:lineRule="auto"/>
        <w:ind w:firstLine="420" w:firstLineChars="200"/>
        <w:rPr>
          <w:rFonts w:asciiTheme="minorEastAsia" w:hAnsiTheme="minorEastAsia" w:eastAsiaTheme="minorEastAsia"/>
          <w:highlight w:val="none"/>
        </w:rPr>
      </w:pPr>
      <w:bookmarkStart w:id="392" w:name="_Hlt88827255"/>
      <w:bookmarkEnd w:id="392"/>
      <w:r>
        <w:rPr>
          <w:rFonts w:hint="eastAsia" w:asciiTheme="minorEastAsia" w:hAnsiTheme="minorEastAsia" w:eastAsiaTheme="minorEastAsia"/>
          <w:highlight w:val="none"/>
        </w:rPr>
        <w:t>五、基金税收</w:t>
      </w:r>
    </w:p>
    <w:p w14:paraId="2D129510">
      <w:pPr>
        <w:adjustRightInd w:val="0"/>
        <w:snapToGrid w:val="0"/>
        <w:spacing w:line="360" w:lineRule="auto"/>
        <w:ind w:firstLine="420" w:firstLineChars="200"/>
        <w:rPr>
          <w:rFonts w:cs="Arial" w:asciiTheme="minorEastAsia" w:hAnsiTheme="minorEastAsia" w:eastAsiaTheme="minorEastAsia"/>
          <w:szCs w:val="21"/>
          <w:highlight w:val="none"/>
        </w:rPr>
      </w:pPr>
      <w:r>
        <w:rPr>
          <w:rFonts w:hint="eastAsia" w:asciiTheme="minorEastAsia" w:hAnsiTheme="minorEastAsia" w:eastAsiaTheme="minorEastAsia"/>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93" w:name="_Toc93226149"/>
      <w:bookmarkStart w:id="394" w:name="_Toc92662707"/>
      <w:bookmarkStart w:id="395" w:name="_Toc19558"/>
      <w:bookmarkStart w:id="396" w:name="_Toc15525"/>
      <w:bookmarkStart w:id="397" w:name="_Toc128310499"/>
      <w:bookmarkStart w:id="398" w:name="_Toc139991746"/>
      <w:bookmarkStart w:id="399" w:name="_Toc25883"/>
      <w:bookmarkStart w:id="400" w:name="_Toc3656"/>
      <w:bookmarkStart w:id="401" w:name="_Toc22552"/>
      <w:bookmarkStart w:id="402" w:name="_Toc21829"/>
      <w:bookmarkStart w:id="403" w:name="_Toc12761"/>
      <w:bookmarkStart w:id="404" w:name="_Toc178"/>
      <w:bookmarkStart w:id="405" w:name="_Toc15351"/>
      <w:bookmarkStart w:id="406" w:name="_Toc1617"/>
      <w:bookmarkStart w:id="407" w:name="_Toc20052"/>
      <w:bookmarkStart w:id="408" w:name="_Toc141703896"/>
    </w:p>
    <w:p w14:paraId="2EFD59B0">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20" w:type="default"/>
          <w:pgSz w:w="11906" w:h="16838"/>
          <w:pgMar w:top="1418" w:right="1701" w:bottom="1418" w:left="1701" w:header="851" w:footer="992" w:gutter="0"/>
          <w:pgNumType w:start="1"/>
          <w:cols w:space="425" w:num="1"/>
          <w:formProt w:val="0"/>
          <w:docGrid w:type="lines" w:linePitch="312" w:charSpace="0"/>
        </w:sectPr>
      </w:pPr>
      <w:bookmarkStart w:id="409" w:name="_Toc90742333"/>
      <w:bookmarkStart w:id="410" w:name="_Toc90742402"/>
    </w:p>
    <w:bookmarkEnd w:id="385"/>
    <w:p w14:paraId="54C1E17A">
      <w:pPr>
        <w:pStyle w:val="3"/>
        <w:adjustRightInd w:val="0"/>
        <w:snapToGrid w:val="0"/>
        <w:spacing w:before="312" w:beforeLines="100" w:after="0" w:line="360" w:lineRule="auto"/>
        <w:rPr>
          <w:rFonts w:asciiTheme="minorEastAsia" w:hAnsiTheme="minorEastAsia" w:eastAsiaTheme="minorEastAsia"/>
          <w:sz w:val="21"/>
          <w:highlight w:val="none"/>
        </w:rPr>
      </w:pPr>
      <w:bookmarkStart w:id="411" w:name="_Toc16237241"/>
      <w:bookmarkStart w:id="412" w:name="CLAUSE_d9d9bc6d5f834393a32cae1e55ad010a"/>
      <w:r>
        <w:rPr>
          <w:rFonts w:hint="eastAsia" w:cs="Arial" w:asciiTheme="minorEastAsia" w:hAnsiTheme="minorEastAsia" w:eastAsiaTheme="minorEastAsia"/>
          <w:sz w:val="21"/>
          <w:szCs w:val="21"/>
          <w:highlight w:val="none"/>
        </w:rPr>
        <w:t xml:space="preserve">第十六部分 </w:t>
      </w:r>
      <w:bookmarkStart w:id="413" w:name="CTS_d9d9bc6d5f834393a32cae1e55ad010a"/>
      <w:bookmarkEnd w:id="413"/>
      <w:r>
        <w:rPr>
          <w:rFonts w:hint="eastAsia" w:asciiTheme="minorEastAsia" w:hAnsiTheme="minorEastAsia" w:eastAsiaTheme="minorEastAsia"/>
          <w:sz w:val="21"/>
          <w:highlight w:val="none"/>
        </w:rPr>
        <w:t>基金</w:t>
      </w:r>
      <w:bookmarkEnd w:id="393"/>
      <w:bookmarkEnd w:id="394"/>
      <w:r>
        <w:rPr>
          <w:rFonts w:hint="eastAsia" w:asciiTheme="minorEastAsia" w:hAnsiTheme="minorEastAsia" w:eastAsiaTheme="minorEastAsia"/>
          <w:sz w:val="21"/>
          <w:highlight w:val="none"/>
        </w:rPr>
        <w:t>的收益与分配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D51EC3E">
      <w:pPr>
        <w:rPr>
          <w:rFonts w:asciiTheme="minorEastAsia" w:hAnsiTheme="minorEastAsia" w:eastAsiaTheme="minorEastAsia"/>
          <w:bCs/>
          <w:highlight w:val="none"/>
        </w:rPr>
      </w:pPr>
    </w:p>
    <w:p w14:paraId="3AD0D89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一、基金利润的构成</w:t>
      </w:r>
    </w:p>
    <w:p w14:paraId="5A53A94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基金利润指基金利息收入、投资收益、公允价值变动收益和其他收入扣除相关费用后的余额，基金已实现收益指基金利润减去公允价值变动收益后的余额。</w:t>
      </w:r>
    </w:p>
    <w:p w14:paraId="5059FFB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二、基金可供分配利润</w:t>
      </w:r>
    </w:p>
    <w:p w14:paraId="14AA366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基金可供分配利润指截至收益分配基准日基金未分配利润与未分配利润中已实现收益的孰低数。</w:t>
      </w:r>
    </w:p>
    <w:p w14:paraId="427B0E58">
      <w:pPr>
        <w:adjustRightInd w:val="0"/>
        <w:snapToGrid w:val="0"/>
        <w:spacing w:line="360" w:lineRule="auto"/>
        <w:ind w:firstLine="420" w:firstLineChars="200"/>
        <w:rPr>
          <w:rFonts w:asciiTheme="minorEastAsia" w:hAnsiTheme="minorEastAsia" w:eastAsiaTheme="minorEastAsia"/>
          <w:highlight w:val="none"/>
        </w:rPr>
      </w:pPr>
      <w:bookmarkStart w:id="414" w:name="_Hlk103615441"/>
      <w:r>
        <w:rPr>
          <w:rFonts w:hint="eastAsia" w:asciiTheme="minorEastAsia" w:hAnsiTheme="minorEastAsia" w:eastAsiaTheme="minorEastAsia"/>
          <w:highlight w:val="none"/>
        </w:rPr>
        <w:t>三、基金收益分配原则</w:t>
      </w:r>
    </w:p>
    <w:p w14:paraId="6ADC759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本基金收益分配应遵循下列原则：</w:t>
      </w:r>
    </w:p>
    <w:p w14:paraId="2DF4612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35D5724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2、由于本基金A类基金份额不收取销售服务费，C类基金份额收取销售服务费，各基金份额类别对应的可分配收益将有所不同。本基金同一类别每一基金份额享有同等分配权；</w:t>
      </w:r>
    </w:p>
    <w:p w14:paraId="12F598A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3、法律法规或监管机关另有规定的，从其规定。</w:t>
      </w:r>
    </w:p>
    <w:p w14:paraId="667851B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不违反法律法规且对基金份额持有人利益无实质性不利影响的前提下，基金管理人经与基金托管人协商一致，并履行适当程序后，基金管理人可对基金收益分配的有关业务规则进行调整，无需召开基金份额持有人大会审议。</w:t>
      </w:r>
      <w:bookmarkEnd w:id="414"/>
    </w:p>
    <w:p w14:paraId="461B5E2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四、收益分配方案</w:t>
      </w:r>
    </w:p>
    <w:p w14:paraId="6D97002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基金收益分配方案中应载明截至收益分配基准日的可供分配利润、基金收益分配对象、</w:t>
      </w:r>
      <w:r>
        <w:rPr>
          <w:rFonts w:asciiTheme="minorEastAsia" w:hAnsiTheme="minorEastAsia" w:eastAsiaTheme="minorEastAsia"/>
          <w:highlight w:val="none"/>
        </w:rPr>
        <w:t>分配</w:t>
      </w:r>
      <w:r>
        <w:rPr>
          <w:rFonts w:hint="eastAsia" w:asciiTheme="minorEastAsia" w:hAnsiTheme="minorEastAsia" w:eastAsiaTheme="minorEastAsia"/>
          <w:highlight w:val="none"/>
        </w:rPr>
        <w:t>时间、分配数额及比例、分配方式等内容。</w:t>
      </w:r>
    </w:p>
    <w:p w14:paraId="1077540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五、收益分配方案的确定、公告与实施</w:t>
      </w:r>
    </w:p>
    <w:p w14:paraId="58ADD11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本基金收益分配方案由基金管理人拟定，并由基金托管人复核</w:t>
      </w:r>
      <w:bookmarkStart w:id="415" w:name="_Hlk103615484"/>
      <w:r>
        <w:rPr>
          <w:rFonts w:hint="eastAsia" w:asciiTheme="minorEastAsia" w:hAnsiTheme="minorEastAsia" w:eastAsiaTheme="minorEastAsia"/>
          <w:highlight w:val="none"/>
        </w:rPr>
        <w:t>，</w:t>
      </w:r>
      <w:r>
        <w:rPr>
          <w:rFonts w:hint="eastAsia"/>
          <w:bCs/>
          <w:szCs w:val="21"/>
          <w:highlight w:val="none"/>
        </w:rPr>
        <w:t>依照</w:t>
      </w:r>
      <w:r>
        <w:rPr>
          <w:bCs/>
          <w:szCs w:val="21"/>
          <w:highlight w:val="none"/>
        </w:rPr>
        <w:t>《</w:t>
      </w:r>
      <w:r>
        <w:rPr>
          <w:rFonts w:hint="eastAsia"/>
          <w:bCs/>
          <w:szCs w:val="21"/>
          <w:highlight w:val="none"/>
        </w:rPr>
        <w:t>信息</w:t>
      </w:r>
      <w:r>
        <w:rPr>
          <w:bCs/>
          <w:szCs w:val="21"/>
          <w:highlight w:val="none"/>
        </w:rPr>
        <w:t>披露办法》</w:t>
      </w:r>
      <w:r>
        <w:rPr>
          <w:rFonts w:hint="eastAsia"/>
          <w:bCs/>
          <w:szCs w:val="21"/>
          <w:highlight w:val="none"/>
        </w:rPr>
        <w:t>的有关</w:t>
      </w:r>
      <w:r>
        <w:rPr>
          <w:bCs/>
          <w:szCs w:val="21"/>
          <w:highlight w:val="none"/>
        </w:rPr>
        <w:t>规定在</w:t>
      </w:r>
      <w:r>
        <w:rPr>
          <w:rFonts w:hint="eastAsia"/>
          <w:bCs/>
          <w:szCs w:val="21"/>
          <w:highlight w:val="none"/>
        </w:rPr>
        <w:t>规定媒介</w:t>
      </w:r>
      <w:r>
        <w:rPr>
          <w:bCs/>
          <w:szCs w:val="21"/>
          <w:highlight w:val="none"/>
        </w:rPr>
        <w:t>公告</w:t>
      </w:r>
      <w:bookmarkEnd w:id="415"/>
      <w:r>
        <w:rPr>
          <w:rFonts w:hint="eastAsia" w:asciiTheme="minorEastAsia" w:hAnsiTheme="minorEastAsia" w:eastAsiaTheme="minorEastAsia"/>
          <w:highlight w:val="none"/>
        </w:rPr>
        <w:t>。</w:t>
      </w:r>
    </w:p>
    <w:p w14:paraId="1A30706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六、基金收益分配中发生的费用</w:t>
      </w:r>
    </w:p>
    <w:p w14:paraId="5629FA2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bookmarkStart w:id="416" w:name="_Toc93226150"/>
      <w:bookmarkStart w:id="417" w:name="_Toc92662708"/>
      <w:bookmarkStart w:id="418" w:name="_Toc28961"/>
      <w:bookmarkStart w:id="419" w:name="_Toc13255"/>
      <w:bookmarkStart w:id="420" w:name="_Toc18747"/>
      <w:bookmarkStart w:id="421" w:name="_Toc17499"/>
      <w:bookmarkStart w:id="422" w:name="_Toc128310500"/>
      <w:bookmarkStart w:id="423" w:name="_Toc18007"/>
      <w:bookmarkStart w:id="424" w:name="_Toc141703897"/>
      <w:bookmarkStart w:id="425" w:name="_Toc31736"/>
      <w:bookmarkStart w:id="426" w:name="_Toc139991747"/>
      <w:bookmarkStart w:id="427" w:name="_Toc10894"/>
      <w:bookmarkStart w:id="428" w:name="_Toc29695"/>
      <w:bookmarkStart w:id="429" w:name="_Toc21206"/>
      <w:bookmarkStart w:id="430" w:name="_Toc1043"/>
      <w:bookmarkStart w:id="431" w:name="_Toc23859"/>
    </w:p>
    <w:p w14:paraId="33B39294">
      <w:pPr>
        <w:adjustRightInd w:val="0"/>
        <w:snapToGrid w:val="0"/>
        <w:spacing w:line="360" w:lineRule="auto"/>
        <w:ind w:firstLine="420" w:firstLineChars="200"/>
        <w:rPr>
          <w:rFonts w:asciiTheme="minorEastAsia" w:hAnsiTheme="minorEastAsia" w:eastAsiaTheme="minorEastAsia"/>
          <w:highlight w:val="none"/>
        </w:rPr>
      </w:pPr>
      <w:bookmarkStart w:id="432" w:name="_Toc90742403"/>
      <w:bookmarkStart w:id="433" w:name="_Toc90742334"/>
      <w:r>
        <w:rPr>
          <w:rFonts w:hint="eastAsia" w:asciiTheme="minorEastAsia" w:hAnsiTheme="minorEastAsia" w:eastAsiaTheme="minorEastAsia"/>
          <w:highlight w:val="none"/>
        </w:rPr>
        <w:t>七、实施侧袋机制期间的收益分配</w:t>
      </w:r>
    </w:p>
    <w:p w14:paraId="7C4E2E7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本基金实施侧袋机制的，侧袋账户不进行收益分配，详见招募说明书的规定。</w:t>
      </w:r>
    </w:p>
    <w:p w14:paraId="02AE5F95">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21" w:type="default"/>
          <w:pgSz w:w="11906" w:h="16838"/>
          <w:pgMar w:top="1418" w:right="1701" w:bottom="1418" w:left="1701" w:header="851" w:footer="992" w:gutter="0"/>
          <w:pgNumType w:start="1"/>
          <w:cols w:space="425" w:num="1"/>
          <w:formProt w:val="0"/>
          <w:docGrid w:type="lines" w:linePitch="312" w:charSpace="0"/>
        </w:sectPr>
      </w:pPr>
    </w:p>
    <w:bookmarkEnd w:id="412"/>
    <w:p w14:paraId="063A59AD">
      <w:pPr>
        <w:pStyle w:val="3"/>
        <w:adjustRightInd w:val="0"/>
        <w:snapToGrid w:val="0"/>
        <w:spacing w:before="312" w:beforeLines="100" w:after="0" w:line="360" w:lineRule="auto"/>
        <w:rPr>
          <w:rFonts w:asciiTheme="minorEastAsia" w:hAnsiTheme="minorEastAsia" w:eastAsiaTheme="minorEastAsia"/>
          <w:sz w:val="21"/>
          <w:highlight w:val="none"/>
        </w:rPr>
      </w:pPr>
      <w:bookmarkStart w:id="434" w:name="_Toc16237242"/>
      <w:bookmarkStart w:id="435" w:name="CLAUSE_024133fad1fb495e9002605c3c2bdd33"/>
      <w:r>
        <w:rPr>
          <w:rFonts w:hint="eastAsia" w:cs="Arial" w:asciiTheme="minorEastAsia" w:hAnsiTheme="minorEastAsia" w:eastAsiaTheme="minorEastAsia"/>
          <w:sz w:val="21"/>
          <w:szCs w:val="21"/>
          <w:highlight w:val="none"/>
        </w:rPr>
        <w:t xml:space="preserve">第十七部分 </w:t>
      </w:r>
      <w:bookmarkStart w:id="436" w:name="CTS_024133fad1fb495e9002605c3c2bdd33"/>
      <w:bookmarkEnd w:id="436"/>
      <w:r>
        <w:rPr>
          <w:rFonts w:asciiTheme="minorEastAsia" w:hAnsiTheme="minorEastAsia" w:eastAsiaTheme="minorEastAsia"/>
          <w:sz w:val="21"/>
          <w:highlight w:val="none"/>
        </w:rPr>
        <w:t>基金的会计</w:t>
      </w:r>
      <w:r>
        <w:rPr>
          <w:rFonts w:cs="Arial" w:asciiTheme="minorEastAsia" w:hAnsiTheme="minorEastAsia" w:eastAsiaTheme="minorEastAsia"/>
          <w:sz w:val="21"/>
          <w:szCs w:val="21"/>
          <w:highlight w:val="none"/>
        </w:rPr>
        <w:t>和</w:t>
      </w:r>
      <w:r>
        <w:rPr>
          <w:rFonts w:asciiTheme="minorEastAsia" w:hAnsiTheme="minorEastAsia" w:eastAsiaTheme="minorEastAsia"/>
          <w:sz w:val="21"/>
          <w:highlight w:val="none"/>
        </w:rPr>
        <w:t>审计</w:t>
      </w:r>
      <w:bookmarkEnd w:id="432"/>
      <w:bookmarkEnd w:id="433"/>
      <w:bookmarkEnd w:id="434"/>
    </w:p>
    <w:p w14:paraId="68991FAA">
      <w:pPr>
        <w:spacing w:line="360" w:lineRule="auto"/>
        <w:ind w:firstLine="480" w:firstLineChars="200"/>
        <w:rPr>
          <w:rFonts w:asciiTheme="minorEastAsia" w:hAnsiTheme="minorEastAsia" w:eastAsiaTheme="minorEastAsia"/>
          <w:bCs/>
          <w:sz w:val="24"/>
          <w:highlight w:val="none"/>
        </w:rPr>
      </w:pPr>
    </w:p>
    <w:p w14:paraId="7731945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w:t>
      </w:r>
      <w:bookmarkEnd w:id="416"/>
      <w:bookmarkEnd w:id="417"/>
      <w:r>
        <w:rPr>
          <w:rFonts w:hint="eastAsia" w:asciiTheme="minorEastAsia" w:hAnsiTheme="minorEastAsia" w:eastAsiaTheme="minorEastAsia"/>
          <w:highlight w:val="none"/>
        </w:rPr>
        <w:t>会计</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hint="eastAsia" w:asciiTheme="minorEastAsia" w:hAnsiTheme="minorEastAsia" w:eastAsiaTheme="minorEastAsia"/>
          <w:highlight w:val="none"/>
        </w:rPr>
        <w:t>政策</w:t>
      </w:r>
    </w:p>
    <w:p w14:paraId="50D0840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基金管理人为本基金的基金会计责任方；</w:t>
      </w:r>
    </w:p>
    <w:p w14:paraId="7A00F5B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2.本基金的会计年度为公历年度的</w:t>
      </w:r>
      <w:r>
        <w:rPr>
          <w:rFonts w:asciiTheme="minorEastAsia" w:hAnsiTheme="minorEastAsia" w:eastAsiaTheme="minorEastAsia"/>
          <w:highlight w:val="none"/>
        </w:rPr>
        <w:t>1</w:t>
      </w:r>
      <w:r>
        <w:rPr>
          <w:rFonts w:hint="eastAsia" w:asciiTheme="minorEastAsia" w:hAnsiTheme="minorEastAsia" w:eastAsiaTheme="minorEastAsia"/>
          <w:highlight w:val="none"/>
        </w:rPr>
        <w:t>月</w:t>
      </w:r>
      <w:r>
        <w:rPr>
          <w:rFonts w:asciiTheme="minorEastAsia" w:hAnsiTheme="minorEastAsia" w:eastAsiaTheme="minorEastAsia"/>
          <w:highlight w:val="none"/>
        </w:rPr>
        <w:t>1</w:t>
      </w:r>
      <w:r>
        <w:rPr>
          <w:rFonts w:hint="eastAsia" w:asciiTheme="minorEastAsia" w:hAnsiTheme="minorEastAsia" w:eastAsiaTheme="minorEastAsia"/>
          <w:highlight w:val="none"/>
        </w:rPr>
        <w:t>日至</w:t>
      </w:r>
      <w:r>
        <w:rPr>
          <w:rFonts w:asciiTheme="minorEastAsia" w:hAnsiTheme="minorEastAsia" w:eastAsiaTheme="minorEastAsia"/>
          <w:highlight w:val="none"/>
        </w:rPr>
        <w:t>12</w:t>
      </w:r>
      <w:r>
        <w:rPr>
          <w:rFonts w:hint="eastAsia" w:asciiTheme="minorEastAsia" w:hAnsiTheme="minorEastAsia" w:eastAsiaTheme="minorEastAsia"/>
          <w:highlight w:val="none"/>
        </w:rPr>
        <w:t>月</w:t>
      </w:r>
      <w:r>
        <w:rPr>
          <w:rFonts w:asciiTheme="minorEastAsia" w:hAnsiTheme="minorEastAsia" w:eastAsiaTheme="minorEastAsia"/>
          <w:highlight w:val="none"/>
        </w:rPr>
        <w:t>31</w:t>
      </w:r>
      <w:r>
        <w:rPr>
          <w:rFonts w:hint="eastAsia" w:asciiTheme="minorEastAsia" w:hAnsiTheme="minorEastAsia" w:eastAsiaTheme="minorEastAsia"/>
          <w:highlight w:val="none"/>
        </w:rPr>
        <w:t>日，基金首次募集的会计年度按如下原则：如果《基金合同》生效少于</w:t>
      </w:r>
      <w:r>
        <w:rPr>
          <w:rFonts w:asciiTheme="minorEastAsia" w:hAnsiTheme="minorEastAsia" w:eastAsiaTheme="minorEastAsia"/>
          <w:highlight w:val="none"/>
        </w:rPr>
        <w:t>2</w:t>
      </w:r>
      <w:r>
        <w:rPr>
          <w:rFonts w:hint="eastAsia" w:asciiTheme="minorEastAsia" w:hAnsiTheme="minorEastAsia" w:eastAsiaTheme="minorEastAsia"/>
          <w:highlight w:val="none"/>
        </w:rPr>
        <w:t>个月，可以并入下一个会计年度披露；</w:t>
      </w:r>
      <w:r>
        <w:rPr>
          <w:rFonts w:asciiTheme="minorEastAsia" w:hAnsiTheme="minorEastAsia" w:eastAsiaTheme="minorEastAsia"/>
          <w:highlight w:val="none"/>
        </w:rPr>
        <w:t xml:space="preserve"> </w:t>
      </w:r>
    </w:p>
    <w:p w14:paraId="0716D11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3.本基金核算以人民币为记账本位币，以人民币元为记账单位；</w:t>
      </w:r>
    </w:p>
    <w:p w14:paraId="3A326C9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会计制度执行国家有关会计制度；</w:t>
      </w:r>
    </w:p>
    <w:p w14:paraId="0B7814E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本基金独立建账、独立核算；</w:t>
      </w:r>
    </w:p>
    <w:p w14:paraId="74BEF4D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基金管理人及基金托管人各自保留完整的会计账目、凭证并进行日常的会计核算，按照有关规定编制基金会计报表；</w:t>
      </w:r>
    </w:p>
    <w:p w14:paraId="0AFDEBD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基金托管人每月与基金管理人就基金的会计核算、报表编制等进行核对并以书面方式确认。</w:t>
      </w:r>
    </w:p>
    <w:p w14:paraId="0627CA0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二、基金的年度审计</w:t>
      </w:r>
    </w:p>
    <w:p w14:paraId="66BCCAA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基金管理人聘请与基金管理人、基金托管人相互独立的</w:t>
      </w:r>
      <w:r>
        <w:rPr>
          <w:rFonts w:hint="eastAsia" w:asciiTheme="minorEastAsia" w:hAnsiTheme="minorEastAsia" w:eastAsiaTheme="minorEastAsia"/>
          <w:bCs/>
          <w:highlight w:val="none"/>
        </w:rPr>
        <w:t>符合《中华人民共和国证券法》规定的</w:t>
      </w:r>
      <w:r>
        <w:rPr>
          <w:rFonts w:hint="eastAsia" w:asciiTheme="minorEastAsia" w:hAnsiTheme="minorEastAsia" w:eastAsiaTheme="minorEastAsia"/>
          <w:highlight w:val="none"/>
        </w:rPr>
        <w:t>会计师事务所及其注册会计师对本基金的年度财务报表进行审计。</w:t>
      </w:r>
    </w:p>
    <w:p w14:paraId="4E22A12A">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会计师事务所更换经办注册会计师，应事先征得基金管理人同意。</w:t>
      </w:r>
    </w:p>
    <w:p w14:paraId="6059B5F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bookmarkStart w:id="437" w:name="_Hlt4221115"/>
      <w:bookmarkEnd w:id="437"/>
      <w:r>
        <w:rPr>
          <w:rFonts w:hint="eastAsia" w:asciiTheme="minorEastAsia" w:hAnsiTheme="minorEastAsia" w:eastAsiaTheme="minorEastAsia"/>
          <w:highlight w:val="none"/>
        </w:rPr>
        <w:t>基金管理人认为有充足理由更换会计师事务所，须通报基金托管人。更换会计师事务所需按照《信息披露办法》的有关规定</w:t>
      </w:r>
      <w:r>
        <w:rPr>
          <w:rFonts w:asciiTheme="minorEastAsia" w:hAnsiTheme="minorEastAsia" w:eastAsiaTheme="minorEastAsia"/>
          <w:highlight w:val="none"/>
        </w:rPr>
        <w:t>在规定媒介</w:t>
      </w:r>
      <w:r>
        <w:rPr>
          <w:rFonts w:hint="eastAsia" w:asciiTheme="minorEastAsia" w:hAnsiTheme="minorEastAsia" w:eastAsiaTheme="minorEastAsia"/>
          <w:highlight w:val="none"/>
        </w:rPr>
        <w:t>公告。</w:t>
      </w:r>
    </w:p>
    <w:p w14:paraId="06B66FA5">
      <w:pPr>
        <w:adjustRightInd w:val="0"/>
        <w:snapToGrid w:val="0"/>
        <w:spacing w:line="360" w:lineRule="auto"/>
        <w:rPr>
          <w:rFonts w:cs="Arial" w:asciiTheme="minorEastAsia" w:hAnsiTheme="minorEastAsia" w:eastAsiaTheme="minorEastAsia"/>
          <w:szCs w:val="21"/>
          <w:highlight w:val="none"/>
        </w:rPr>
      </w:pPr>
      <w:bookmarkStart w:id="438" w:name="_Toc93226151"/>
      <w:bookmarkStart w:id="439" w:name="_Toc92662709"/>
      <w:bookmarkStart w:id="440" w:name="_Toc193"/>
      <w:bookmarkStart w:id="441" w:name="_Toc3056"/>
      <w:bookmarkStart w:id="442" w:name="_Toc11049"/>
      <w:bookmarkStart w:id="443" w:name="_Toc139991748"/>
      <w:bookmarkStart w:id="444" w:name="_Toc128310501"/>
      <w:bookmarkStart w:id="445" w:name="_Toc141703898"/>
      <w:bookmarkStart w:id="446" w:name="_Toc1421"/>
      <w:bookmarkStart w:id="447" w:name="_Toc29289"/>
      <w:bookmarkStart w:id="448" w:name="_Toc11802"/>
      <w:bookmarkStart w:id="449" w:name="_Toc31866"/>
      <w:bookmarkStart w:id="450" w:name="_Toc8512"/>
      <w:bookmarkStart w:id="451" w:name="_Toc21351"/>
      <w:bookmarkStart w:id="452" w:name="_Toc12028"/>
      <w:bookmarkStart w:id="453" w:name="_Toc1173"/>
    </w:p>
    <w:p w14:paraId="6C374714">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22" w:type="default"/>
          <w:pgSz w:w="11906" w:h="16838"/>
          <w:pgMar w:top="1418" w:right="1701" w:bottom="1418" w:left="1701" w:header="851" w:footer="992" w:gutter="0"/>
          <w:pgNumType w:start="1"/>
          <w:cols w:space="425" w:num="1"/>
          <w:formProt w:val="0"/>
          <w:docGrid w:type="lines" w:linePitch="312" w:charSpace="0"/>
        </w:sectPr>
      </w:pPr>
      <w:bookmarkStart w:id="454" w:name="_Toc90742404"/>
      <w:bookmarkStart w:id="455" w:name="_Toc90742335"/>
    </w:p>
    <w:bookmarkEnd w:id="435"/>
    <w:p w14:paraId="029C3D4E">
      <w:pPr>
        <w:pStyle w:val="3"/>
        <w:adjustRightInd w:val="0"/>
        <w:snapToGrid w:val="0"/>
        <w:spacing w:before="312" w:beforeLines="100" w:after="0" w:line="360" w:lineRule="auto"/>
        <w:rPr>
          <w:rFonts w:asciiTheme="minorEastAsia" w:hAnsiTheme="minorEastAsia" w:eastAsiaTheme="minorEastAsia"/>
          <w:sz w:val="21"/>
          <w:highlight w:val="none"/>
        </w:rPr>
      </w:pPr>
      <w:bookmarkStart w:id="456" w:name="_Toc16237243"/>
      <w:bookmarkStart w:id="457" w:name="CLAUSE_04c2cf45ac084b839da136ea1fdc734b"/>
      <w:r>
        <w:rPr>
          <w:rFonts w:hint="eastAsia" w:cs="Arial" w:asciiTheme="minorEastAsia" w:hAnsiTheme="minorEastAsia" w:eastAsiaTheme="minorEastAsia"/>
          <w:sz w:val="21"/>
          <w:szCs w:val="21"/>
          <w:highlight w:val="none"/>
        </w:rPr>
        <w:t xml:space="preserve">第十八部分 </w:t>
      </w:r>
      <w:bookmarkStart w:id="458" w:name="CTS_04c2cf45ac084b839da136ea1fdc734b"/>
      <w:bookmarkEnd w:id="458"/>
      <w:r>
        <w:rPr>
          <w:rFonts w:hint="eastAsia" w:asciiTheme="minorEastAsia" w:hAnsiTheme="minorEastAsia" w:eastAsiaTheme="minorEastAsia"/>
          <w:sz w:val="21"/>
          <w:highlight w:val="none"/>
        </w:rPr>
        <w:t>基金</w:t>
      </w:r>
      <w:bookmarkEnd w:id="438"/>
      <w:bookmarkEnd w:id="439"/>
      <w:r>
        <w:rPr>
          <w:rFonts w:hint="eastAsia" w:asciiTheme="minorEastAsia" w:hAnsiTheme="minorEastAsia" w:eastAsiaTheme="minorEastAsia"/>
          <w:sz w:val="21"/>
          <w:highlight w:val="none"/>
        </w:rPr>
        <w:t>的信息披露</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3C619F1">
      <w:pPr>
        <w:spacing w:line="360" w:lineRule="auto"/>
        <w:ind w:firstLine="480" w:firstLineChars="200"/>
        <w:rPr>
          <w:rFonts w:asciiTheme="minorEastAsia" w:hAnsiTheme="minorEastAsia" w:eastAsiaTheme="minorEastAsia"/>
          <w:bCs/>
          <w:sz w:val="24"/>
          <w:highlight w:val="none"/>
        </w:rPr>
      </w:pPr>
    </w:p>
    <w:p w14:paraId="126EFA7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一、基金的信息披露应符合《基金法》、《运作办法》、《信息披露办法》、《流动性风险管理规定》、《</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》及</w:t>
      </w:r>
      <w:r>
        <w:rPr>
          <w:rFonts w:asciiTheme="minorEastAsia" w:hAnsiTheme="minorEastAsia" w:eastAsiaTheme="minorEastAsia"/>
          <w:highlight w:val="none"/>
        </w:rPr>
        <w:t>其他有关规定。</w:t>
      </w:r>
      <w:r>
        <w:rPr>
          <w:rFonts w:hint="eastAsia" w:asciiTheme="minorEastAsia" w:hAnsiTheme="minorEastAsia" w:eastAsiaTheme="minorEastAsia"/>
          <w:highlight w:val="none"/>
        </w:rPr>
        <w:t>相关法律法规关于信息披露的披露方式、登载媒介、报备方式等规定发生变化时，本基金从其最新规定。</w:t>
      </w:r>
    </w:p>
    <w:p w14:paraId="555940A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二、信息披露义务人</w:t>
      </w:r>
    </w:p>
    <w:p w14:paraId="7985B62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本基金信息披露义务人包括基金管理人、基金托管人、召集基金份额持有人大会的基金份额持有人及其日常机构等法律、行政法规和中国证监会规定的自然人、法人和非法人组织。</w:t>
      </w:r>
    </w:p>
    <w:p w14:paraId="50CD11C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本基金信息披露义务人以保护基金份额持有人利益为根本出发点，按照法律法规和中国证监会的规定披露基金信息，并保证所披露信息的真实性、准确性、完整性、及时性、简明性和易得性。</w:t>
      </w:r>
    </w:p>
    <w:p w14:paraId="3BBA63F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本基金信息披露义务人应当在中国证监会规定时间内，将应予披露的基金信息通过符合中国证监会规定条件的</w:t>
      </w:r>
      <w:r>
        <w:rPr>
          <w:rFonts w:asciiTheme="minorEastAsia" w:hAnsiTheme="minorEastAsia" w:eastAsiaTheme="minorEastAsia"/>
          <w:highlight w:val="none"/>
        </w:rPr>
        <w:t>用以进行信息披露的全国性报刊（以下简称“规定报刊”）及</w:t>
      </w:r>
      <w:r>
        <w:rPr>
          <w:rFonts w:hint="eastAsia" w:asciiTheme="minorEastAsia" w:hAnsiTheme="minorEastAsia" w:eastAsiaTheme="minorEastAsia"/>
          <w:bCs/>
          <w:highlight w:val="none"/>
        </w:rPr>
        <w:t>《信息披露办法》规定的</w:t>
      </w:r>
      <w:r>
        <w:rPr>
          <w:rFonts w:hint="eastAsia" w:asciiTheme="minorEastAsia" w:hAnsiTheme="minorEastAsia" w:eastAsiaTheme="minorEastAsia"/>
          <w:highlight w:val="none"/>
        </w:rPr>
        <w:t>互联网网站（以下简称“规定网站”）等媒介披露，并保证基金投资者能够按照《基金合同》约定的时间和方式查阅或者复制公开披露的信息资料。</w:t>
      </w:r>
    </w:p>
    <w:p w14:paraId="3D7B32F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三、本基金信息披露义务人承诺公开披露的基金信息，不得有下列行为：</w:t>
      </w:r>
    </w:p>
    <w:p w14:paraId="709B9D2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虚假记载、误导性陈述或者重大遗漏；</w:t>
      </w:r>
    </w:p>
    <w:p w14:paraId="266F0AEE">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对证券投资业绩进行预测；</w:t>
      </w:r>
    </w:p>
    <w:p w14:paraId="4B53A30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违规承诺收益或者承担损失；</w:t>
      </w:r>
    </w:p>
    <w:p w14:paraId="1544D93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诋毁其他基金管理人、基金托管人或者基金销售机构；</w:t>
      </w:r>
    </w:p>
    <w:p w14:paraId="1E55C1D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登载任何自然人、法人和非法人组织的祝贺性、恭维性或推荐性的文字；</w:t>
      </w:r>
    </w:p>
    <w:p w14:paraId="319D5A7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6.</w:t>
      </w:r>
      <w:r>
        <w:rPr>
          <w:rFonts w:hint="eastAsia" w:asciiTheme="minorEastAsia" w:hAnsiTheme="minorEastAsia" w:eastAsiaTheme="minorEastAsia"/>
          <w:highlight w:val="none"/>
        </w:rPr>
        <w:t>中国证监会禁止的其他行为。</w:t>
      </w:r>
    </w:p>
    <w:p w14:paraId="1EDDBE8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四、本基金公开披露的信息应采用中文文本。如同时采用外文文本的，基金信息披露义务人应保证不同文本的内容一致。不同文本之间发生歧义的，以中文文本为准。</w:t>
      </w:r>
    </w:p>
    <w:p w14:paraId="16C164E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本基金公开披露的信息采用阿拉伯数字；除特别说明外，货币单位为人民币元。</w:t>
      </w:r>
    </w:p>
    <w:p w14:paraId="4F2B698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w:t>
      </w:r>
      <w:r>
        <w:rPr>
          <w:rFonts w:asciiTheme="minorEastAsia" w:hAnsiTheme="minorEastAsia" w:eastAsiaTheme="minorEastAsia"/>
          <w:highlight w:val="none"/>
        </w:rPr>
        <w:t>公开披露的基金信息</w:t>
      </w:r>
    </w:p>
    <w:p w14:paraId="379F0FD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公开披露的基金信息包括：</w:t>
      </w:r>
    </w:p>
    <w:p w14:paraId="1CC4B86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（一）基金招募说明书、《基金合同》、基金托管协议、基金产品资料概要</w:t>
      </w:r>
    </w:p>
    <w:p w14:paraId="568A1A8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1、《基金合同》是界定《基金合同》当事人的各项权利、义务关系，明确基金份额持有人大会召开的规则及具体程序，说明基金产品的特性等涉及基金投资者重大利益的事项的法律文件。</w:t>
      </w:r>
    </w:p>
    <w:p w14:paraId="5761D2D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DAAFC7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3、基金托管协议是界定基金托管人和基金管理人在基金财产保管及基金运作监督等活动中的权利、义务关系的法律文件。</w:t>
      </w:r>
    </w:p>
    <w:p w14:paraId="65C01EF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C67A48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5CBE18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（二）基金份额发售公告</w:t>
      </w:r>
    </w:p>
    <w:p w14:paraId="4B7ACE9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基金管理人应当就基金份额发售的具体事宜编制基金份额发售公告，并在披露招募说明书的当日登载于规定媒介上。</w:t>
      </w:r>
    </w:p>
    <w:p w14:paraId="02B5A06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（三）《基金合同》生效公告</w:t>
      </w:r>
    </w:p>
    <w:p w14:paraId="635826E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基金管理人应当在收到中国证监会确认文件的次日在规定媒介上登载《基金合同》生效公告。</w:t>
      </w:r>
    </w:p>
    <w:p w14:paraId="6445D4A8">
      <w:pPr>
        <w:adjustRightInd w:val="0"/>
        <w:snapToGrid w:val="0"/>
        <w:spacing w:line="360" w:lineRule="auto"/>
        <w:ind w:firstLine="420" w:firstLineChars="200"/>
        <w:rPr>
          <w:rFonts w:asciiTheme="minorEastAsia" w:hAnsiTheme="minorEastAsia" w:eastAsiaTheme="minorEastAsia"/>
          <w:highlight w:val="none"/>
        </w:rPr>
      </w:pPr>
      <w:bookmarkStart w:id="459" w:name="_Hlk161320995"/>
      <w:r>
        <w:rPr>
          <w:rFonts w:hint="eastAsia" w:asciiTheme="minorEastAsia" w:hAnsiTheme="minorEastAsia" w:eastAsiaTheme="minorEastAsia"/>
          <w:highlight w:val="none"/>
        </w:rPr>
        <w:t>（四）基金净值信息</w:t>
      </w:r>
    </w:p>
    <w:p w14:paraId="34B6C650">
      <w:pPr>
        <w:spacing w:line="360" w:lineRule="auto"/>
        <w:ind w:firstLine="420" w:firstLineChars="200"/>
        <w:rPr>
          <w:bCs/>
          <w:szCs w:val="21"/>
          <w:highlight w:val="none"/>
        </w:rPr>
      </w:pPr>
      <w:r>
        <w:rPr>
          <w:bCs/>
          <w:szCs w:val="21"/>
          <w:highlight w:val="none"/>
        </w:rPr>
        <w:t>《基金合同》生效后，在开始办理基金份额申购或者赎回前，基金管理人应当至少每周</w:t>
      </w:r>
      <w:r>
        <w:rPr>
          <w:rFonts w:hint="eastAsia"/>
          <w:bCs/>
          <w:szCs w:val="21"/>
          <w:highlight w:val="none"/>
        </w:rPr>
        <w:t>在</w:t>
      </w:r>
      <w:r>
        <w:rPr>
          <w:bCs/>
          <w:szCs w:val="21"/>
          <w:highlight w:val="none"/>
        </w:rPr>
        <w:t>规定网站披露一次</w:t>
      </w:r>
      <w:r>
        <w:rPr>
          <w:rFonts w:hint="eastAsia"/>
          <w:bCs/>
          <w:szCs w:val="21"/>
          <w:highlight w:val="none"/>
        </w:rPr>
        <w:t>各类</w:t>
      </w:r>
      <w:r>
        <w:rPr>
          <w:bCs/>
          <w:szCs w:val="21"/>
          <w:highlight w:val="none"/>
        </w:rPr>
        <w:t>基金</w:t>
      </w:r>
      <w:r>
        <w:rPr>
          <w:rFonts w:hint="eastAsia"/>
          <w:bCs/>
          <w:szCs w:val="21"/>
          <w:highlight w:val="none"/>
        </w:rPr>
        <w:t>份额</w:t>
      </w:r>
      <w:r>
        <w:rPr>
          <w:bCs/>
          <w:szCs w:val="21"/>
          <w:highlight w:val="none"/>
        </w:rPr>
        <w:t>净值和</w:t>
      </w:r>
      <w:r>
        <w:rPr>
          <w:rFonts w:hint="eastAsia"/>
          <w:bCs/>
          <w:szCs w:val="21"/>
          <w:highlight w:val="none"/>
        </w:rPr>
        <w:t>各类</w:t>
      </w:r>
      <w:r>
        <w:rPr>
          <w:bCs/>
          <w:szCs w:val="21"/>
          <w:highlight w:val="none"/>
        </w:rPr>
        <w:t>基金</w:t>
      </w:r>
      <w:r>
        <w:rPr>
          <w:rFonts w:hint="eastAsia"/>
          <w:bCs/>
          <w:szCs w:val="21"/>
          <w:highlight w:val="none"/>
        </w:rPr>
        <w:t>份额累计</w:t>
      </w:r>
      <w:r>
        <w:rPr>
          <w:bCs/>
          <w:szCs w:val="21"/>
          <w:highlight w:val="none"/>
        </w:rPr>
        <w:t>净值。</w:t>
      </w:r>
    </w:p>
    <w:p w14:paraId="0AAF3F0B">
      <w:pPr>
        <w:spacing w:line="360" w:lineRule="auto"/>
        <w:ind w:firstLine="420" w:firstLineChars="200"/>
        <w:rPr>
          <w:bCs/>
          <w:szCs w:val="21"/>
          <w:highlight w:val="none"/>
        </w:rPr>
      </w:pPr>
      <w:r>
        <w:rPr>
          <w:bCs/>
          <w:szCs w:val="21"/>
          <w:highlight w:val="none"/>
        </w:rPr>
        <w:t>在开始办理基金份额申购或者赎回后，基金管理人应当在</w:t>
      </w:r>
      <w:r>
        <w:rPr>
          <w:rFonts w:hint="eastAsia"/>
          <w:bCs/>
          <w:szCs w:val="21"/>
          <w:highlight w:val="none"/>
        </w:rPr>
        <w:t>不晚于</w:t>
      </w:r>
      <w:r>
        <w:rPr>
          <w:bCs/>
          <w:szCs w:val="21"/>
          <w:highlight w:val="none"/>
        </w:rPr>
        <w:t>每个开放日的次日，通过</w:t>
      </w:r>
      <w:r>
        <w:rPr>
          <w:rFonts w:hint="eastAsia"/>
          <w:bCs/>
          <w:szCs w:val="21"/>
          <w:highlight w:val="none"/>
        </w:rPr>
        <w:t>其</w:t>
      </w:r>
      <w:r>
        <w:rPr>
          <w:bCs/>
          <w:szCs w:val="21"/>
          <w:highlight w:val="none"/>
        </w:rPr>
        <w:t>规定网站、基金销售机构网站或营业网点披露开放日的</w:t>
      </w:r>
      <w:r>
        <w:rPr>
          <w:rFonts w:hint="eastAsia"/>
          <w:bCs/>
          <w:szCs w:val="21"/>
          <w:highlight w:val="none"/>
        </w:rPr>
        <w:t>各类</w:t>
      </w:r>
      <w:r>
        <w:rPr>
          <w:bCs/>
          <w:szCs w:val="21"/>
          <w:highlight w:val="none"/>
        </w:rPr>
        <w:t>基金份额净值和</w:t>
      </w:r>
      <w:r>
        <w:rPr>
          <w:rFonts w:hint="eastAsia"/>
          <w:bCs/>
          <w:szCs w:val="21"/>
          <w:highlight w:val="none"/>
        </w:rPr>
        <w:t>各类</w:t>
      </w:r>
      <w:r>
        <w:rPr>
          <w:bCs/>
          <w:szCs w:val="21"/>
          <w:highlight w:val="none"/>
        </w:rPr>
        <w:t>基金份额累计净值。</w:t>
      </w:r>
    </w:p>
    <w:p w14:paraId="5A90C2A7">
      <w:pPr>
        <w:adjustRightInd w:val="0"/>
        <w:snapToGrid w:val="0"/>
        <w:spacing w:line="360" w:lineRule="auto"/>
        <w:ind w:firstLine="420" w:firstLineChars="200"/>
        <w:rPr>
          <w:rFonts w:asciiTheme="minorEastAsia" w:hAnsiTheme="minorEastAsia" w:eastAsiaTheme="minorEastAsia"/>
          <w:highlight w:val="none"/>
        </w:rPr>
      </w:pPr>
      <w:r>
        <w:rPr>
          <w:bCs/>
          <w:szCs w:val="21"/>
          <w:highlight w:val="none"/>
        </w:rPr>
        <w:t>基金管理人应</w:t>
      </w:r>
      <w:r>
        <w:rPr>
          <w:rFonts w:hint="eastAsia"/>
          <w:bCs/>
          <w:szCs w:val="21"/>
          <w:highlight w:val="none"/>
        </w:rPr>
        <w:t>在</w:t>
      </w:r>
      <w:r>
        <w:rPr>
          <w:bCs/>
          <w:szCs w:val="21"/>
          <w:highlight w:val="none"/>
        </w:rPr>
        <w:t>不晚于半年度和年度最后一日</w:t>
      </w:r>
      <w:r>
        <w:rPr>
          <w:rFonts w:hint="eastAsia"/>
          <w:bCs/>
          <w:szCs w:val="21"/>
          <w:highlight w:val="none"/>
        </w:rPr>
        <w:t>的</w:t>
      </w:r>
      <w:r>
        <w:rPr>
          <w:bCs/>
          <w:szCs w:val="21"/>
          <w:highlight w:val="none"/>
        </w:rPr>
        <w:t>次日，在规定网站披露半年度和年度最后一日的</w:t>
      </w:r>
      <w:r>
        <w:rPr>
          <w:rFonts w:hint="eastAsia"/>
          <w:bCs/>
          <w:szCs w:val="21"/>
          <w:highlight w:val="none"/>
        </w:rPr>
        <w:t>各类</w:t>
      </w:r>
      <w:r>
        <w:rPr>
          <w:bCs/>
          <w:szCs w:val="21"/>
          <w:highlight w:val="none"/>
        </w:rPr>
        <w:t>基金</w:t>
      </w:r>
      <w:r>
        <w:rPr>
          <w:rFonts w:hint="eastAsia"/>
          <w:bCs/>
          <w:szCs w:val="21"/>
          <w:highlight w:val="none"/>
        </w:rPr>
        <w:t>份额</w:t>
      </w:r>
      <w:r>
        <w:rPr>
          <w:bCs/>
          <w:szCs w:val="21"/>
          <w:highlight w:val="none"/>
        </w:rPr>
        <w:t>净值和</w:t>
      </w:r>
      <w:r>
        <w:rPr>
          <w:rFonts w:hint="eastAsia"/>
          <w:bCs/>
          <w:szCs w:val="21"/>
          <w:highlight w:val="none"/>
        </w:rPr>
        <w:t>各类</w:t>
      </w:r>
      <w:r>
        <w:rPr>
          <w:bCs/>
          <w:szCs w:val="21"/>
          <w:highlight w:val="none"/>
        </w:rPr>
        <w:t>基金</w:t>
      </w:r>
      <w:r>
        <w:rPr>
          <w:rFonts w:hint="eastAsia"/>
          <w:bCs/>
          <w:szCs w:val="21"/>
          <w:highlight w:val="none"/>
        </w:rPr>
        <w:t>份额累计</w:t>
      </w:r>
      <w:r>
        <w:rPr>
          <w:bCs/>
          <w:szCs w:val="21"/>
          <w:highlight w:val="none"/>
        </w:rPr>
        <w:t>净值。</w:t>
      </w:r>
    </w:p>
    <w:bookmarkEnd w:id="459"/>
    <w:p w14:paraId="74F2DCE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（五）基金份额申购、赎回价格</w:t>
      </w:r>
    </w:p>
    <w:p w14:paraId="304064C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基金管理人应当在《</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》、招募说明书等信息披露文件上载明基金份额申购、赎回价格的计算方式及有关申购、赎回费率，并保证</w:t>
      </w:r>
      <w:r>
        <w:rPr>
          <w:rFonts w:asciiTheme="minorEastAsia" w:hAnsiTheme="minorEastAsia" w:eastAsiaTheme="minorEastAsia"/>
          <w:highlight w:val="none"/>
        </w:rPr>
        <w:t>投资</w:t>
      </w:r>
      <w:r>
        <w:rPr>
          <w:rFonts w:hint="eastAsia" w:asciiTheme="minorEastAsia" w:hAnsiTheme="minorEastAsia" w:eastAsiaTheme="minorEastAsia"/>
          <w:highlight w:val="none"/>
        </w:rPr>
        <w:t>者能够在基金</w:t>
      </w:r>
      <w:r>
        <w:rPr>
          <w:rFonts w:hint="eastAsia"/>
          <w:bCs/>
          <w:szCs w:val="21"/>
          <w:highlight w:val="none"/>
        </w:rPr>
        <w:t>销售机构网站或营业网点</w:t>
      </w:r>
      <w:r>
        <w:rPr>
          <w:rFonts w:hint="eastAsia" w:asciiTheme="minorEastAsia" w:hAnsiTheme="minorEastAsia" w:eastAsiaTheme="minorEastAsia"/>
          <w:highlight w:val="none"/>
        </w:rPr>
        <w:t>查阅或者复制前述信息资料。</w:t>
      </w:r>
    </w:p>
    <w:p w14:paraId="096CEDC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（六）基金定期报告，包括基金年度报告、基金中期报告和基金季度报告</w:t>
      </w:r>
    </w:p>
    <w:p w14:paraId="45223E6F">
      <w:pPr>
        <w:spacing w:line="360" w:lineRule="auto"/>
        <w:ind w:firstLine="420" w:firstLineChars="200"/>
        <w:rPr>
          <w:bCs/>
          <w:szCs w:val="21"/>
          <w:highlight w:val="none"/>
        </w:rPr>
      </w:pPr>
      <w:r>
        <w:rPr>
          <w:rFonts w:hint="eastAsia"/>
          <w:bCs/>
          <w:szCs w:val="21"/>
          <w:highlight w:val="none"/>
        </w:rPr>
        <w:t>基金管理人应当在每年结束之日起三个月内，编制完成基金年度报告，将年度报告登载在规定网站上，将年度报告提示性公告登载在规定报刊上。基金年度报告中的财务会计报告应当经过符合《中华人民共和国证券法》规定的会计师事务所审计。</w:t>
      </w:r>
    </w:p>
    <w:p w14:paraId="57ED66A2">
      <w:pPr>
        <w:spacing w:line="360" w:lineRule="auto"/>
        <w:ind w:firstLine="420" w:firstLineChars="200"/>
        <w:rPr>
          <w:bCs/>
          <w:szCs w:val="21"/>
          <w:highlight w:val="none"/>
        </w:rPr>
      </w:pPr>
      <w:r>
        <w:rPr>
          <w:rFonts w:hint="eastAsia"/>
          <w:bCs/>
          <w:szCs w:val="21"/>
          <w:highlight w:val="none"/>
        </w:rPr>
        <w:t>基金管理人应当在上半年结束之日起两个月内，编制完成基金中期报告，并将中期报告登载在规定网站上，将中期报告提示性公告登载在规定报刊上。</w:t>
      </w:r>
    </w:p>
    <w:p w14:paraId="4D159C35">
      <w:pPr>
        <w:adjustRightInd w:val="0"/>
        <w:snapToGrid w:val="0"/>
        <w:spacing w:line="360" w:lineRule="auto"/>
        <w:ind w:firstLine="420" w:firstLineChars="200"/>
        <w:rPr>
          <w:rFonts w:asciiTheme="minorEastAsia" w:hAnsiTheme="minorEastAsia" w:eastAsiaTheme="minorEastAsia"/>
          <w:highlight w:val="none"/>
        </w:rPr>
      </w:pPr>
      <w:r>
        <w:rPr>
          <w:rFonts w:hint="eastAsia"/>
          <w:bCs/>
          <w:szCs w:val="21"/>
          <w:highlight w:val="none"/>
        </w:rPr>
        <w:t>基金管理人应当在季度结束之日起</w:t>
      </w:r>
      <w:r>
        <w:rPr>
          <w:bCs/>
          <w:szCs w:val="21"/>
          <w:highlight w:val="none"/>
        </w:rPr>
        <w:t>15</w:t>
      </w:r>
      <w:r>
        <w:rPr>
          <w:rFonts w:hint="eastAsia"/>
          <w:bCs/>
          <w:szCs w:val="21"/>
          <w:highlight w:val="none"/>
        </w:rPr>
        <w:t>个工作日内，编制完成基金季度报告，将季度报告登载在规定网站上，并将季度报告提示性公告登载在规定报刊上。</w:t>
      </w:r>
    </w:p>
    <w:p w14:paraId="491D3A5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《基金合同》生效不足</w:t>
      </w:r>
      <w:r>
        <w:rPr>
          <w:rFonts w:asciiTheme="minorEastAsia" w:hAnsiTheme="minorEastAsia" w:eastAsiaTheme="minorEastAsia"/>
          <w:highlight w:val="none"/>
        </w:rPr>
        <w:t>2</w:t>
      </w:r>
      <w:r>
        <w:rPr>
          <w:rFonts w:hint="eastAsia" w:asciiTheme="minorEastAsia" w:hAnsiTheme="minorEastAsia" w:eastAsiaTheme="minorEastAsia"/>
          <w:highlight w:val="none"/>
        </w:rPr>
        <w:t>个月的，基金管理人可以不编制当期季度报告、中期报告或者年度报告。</w:t>
      </w:r>
    </w:p>
    <w:p w14:paraId="1A1C4D0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如报告期内出现单一投资人持有基金份额达到或超过基金总份额20%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形除外。</w:t>
      </w:r>
    </w:p>
    <w:p w14:paraId="1012D3E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本基金持续运作过程中，基金管理人应当在基金年度报告和中期报告中披露基金组合资产情况及其流动性风险分析等。</w:t>
      </w:r>
    </w:p>
    <w:p w14:paraId="2B1F075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（七）临时报告</w:t>
      </w:r>
    </w:p>
    <w:p w14:paraId="7E675F9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本基金发生重大事件，有关信息披露义务人应按规定编制临时报告书，</w:t>
      </w:r>
      <w:r>
        <w:rPr>
          <w:rFonts w:hint="eastAsia"/>
          <w:bCs/>
          <w:szCs w:val="21"/>
          <w:highlight w:val="none"/>
        </w:rPr>
        <w:t>并登载在规定报刊和规定网站上</w:t>
      </w:r>
      <w:r>
        <w:rPr>
          <w:rFonts w:hint="eastAsia" w:asciiTheme="minorEastAsia" w:hAnsiTheme="minorEastAsia" w:eastAsiaTheme="minorEastAsia"/>
          <w:highlight w:val="none"/>
        </w:rPr>
        <w:t>。</w:t>
      </w:r>
    </w:p>
    <w:p w14:paraId="352757C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前款所称重大事件，是指可能对基金份额持有人权益或者基金份额的价格产生重大影响的下列事件</w:t>
      </w:r>
      <w:r>
        <w:rPr>
          <w:rFonts w:asciiTheme="minorEastAsia" w:hAnsiTheme="minorEastAsia" w:eastAsiaTheme="minorEastAsia"/>
          <w:highlight w:val="none"/>
        </w:rPr>
        <w:t>：</w:t>
      </w:r>
    </w:p>
    <w:p w14:paraId="4139D75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基金份额持有人大会的召开及决定的事项；</w:t>
      </w:r>
    </w:p>
    <w:p w14:paraId="2F3AB9F3">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2.基金合同</w:t>
      </w:r>
      <w:r>
        <w:rPr>
          <w:rFonts w:hint="eastAsia" w:asciiTheme="minorEastAsia" w:hAnsiTheme="minorEastAsia" w:eastAsiaTheme="minorEastAsia"/>
          <w:highlight w:val="none"/>
        </w:rPr>
        <w:t>终止、基金清算；</w:t>
      </w:r>
    </w:p>
    <w:p w14:paraId="5E921BE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转换基金运作方式、基金合并；</w:t>
      </w:r>
    </w:p>
    <w:p w14:paraId="7B41C0C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更换基金管理人、基金托管人、基金份额登记机构，基金改聘会计师事务所；</w:t>
      </w:r>
    </w:p>
    <w:p w14:paraId="13C76FE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5.基金管理人委托基金服务机构代为办理基金的份额登记、核算、估值等事项，基金托管人委托基金服务机构代为办理基金的核算、估值、复核等事项；</w:t>
      </w:r>
    </w:p>
    <w:p w14:paraId="40C5EB2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w:t>
      </w:r>
      <w:r>
        <w:rPr>
          <w:rFonts w:asciiTheme="minorEastAsia" w:hAnsiTheme="minorEastAsia" w:eastAsiaTheme="minorEastAsia"/>
          <w:highlight w:val="none"/>
        </w:rPr>
        <w:t>.</w:t>
      </w:r>
      <w:r>
        <w:rPr>
          <w:rFonts w:hint="eastAsia" w:asciiTheme="minorEastAsia" w:hAnsiTheme="minorEastAsia" w:eastAsiaTheme="minorEastAsia"/>
          <w:highlight w:val="none"/>
        </w:rPr>
        <w:t>基金管理人、基金托管人的法定名称、住所发生变更；</w:t>
      </w:r>
    </w:p>
    <w:p w14:paraId="171A9178">
      <w:pPr>
        <w:spacing w:line="360" w:lineRule="auto"/>
        <w:ind w:firstLine="420" w:firstLineChars="200"/>
        <w:rPr>
          <w:bCs/>
          <w:szCs w:val="21"/>
          <w:highlight w:val="none"/>
        </w:rPr>
      </w:pPr>
      <w:r>
        <w:rPr>
          <w:rFonts w:asciiTheme="minorEastAsia" w:hAnsiTheme="minorEastAsia" w:eastAsiaTheme="minorEastAsia"/>
          <w:highlight w:val="none"/>
        </w:rPr>
        <w:t>7</w:t>
      </w:r>
      <w:r>
        <w:rPr>
          <w:rFonts w:hint="eastAsia" w:asciiTheme="minorEastAsia" w:hAnsiTheme="minorEastAsia" w:eastAsiaTheme="minorEastAsia"/>
          <w:highlight w:val="none"/>
        </w:rPr>
        <w:t>.</w:t>
      </w:r>
      <w:r>
        <w:rPr>
          <w:rFonts w:hint="eastAsia"/>
          <w:bCs/>
          <w:szCs w:val="21"/>
          <w:highlight w:val="none"/>
        </w:rPr>
        <w:t>基金管理人变更持有百分之五以上股权的股东、基金管理人的实际控制人变更；</w:t>
      </w:r>
    </w:p>
    <w:p w14:paraId="59BECE4B">
      <w:pPr>
        <w:spacing w:line="360" w:lineRule="auto"/>
        <w:ind w:firstLine="420" w:firstLineChars="200"/>
        <w:rPr>
          <w:bCs/>
          <w:szCs w:val="21"/>
          <w:highlight w:val="none"/>
        </w:rPr>
      </w:pPr>
      <w:r>
        <w:rPr>
          <w:rFonts w:asciiTheme="minorEastAsia" w:hAnsiTheme="minorEastAsia" w:eastAsiaTheme="minorEastAsia"/>
          <w:highlight w:val="none"/>
        </w:rPr>
        <w:t>8</w:t>
      </w:r>
      <w:r>
        <w:rPr>
          <w:rFonts w:hint="eastAsia" w:asciiTheme="minorEastAsia" w:hAnsiTheme="minorEastAsia" w:eastAsiaTheme="minorEastAsia"/>
          <w:highlight w:val="none"/>
        </w:rPr>
        <w:t>.</w:t>
      </w:r>
      <w:r>
        <w:rPr>
          <w:rFonts w:hint="eastAsia"/>
          <w:bCs/>
          <w:szCs w:val="21"/>
          <w:highlight w:val="none"/>
        </w:rPr>
        <w:t>基金募集期延长或提前结束募集；</w:t>
      </w:r>
    </w:p>
    <w:p w14:paraId="77C4E57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9</w:t>
      </w:r>
      <w:r>
        <w:rPr>
          <w:rFonts w:hint="eastAsia" w:asciiTheme="minorEastAsia" w:hAnsiTheme="minorEastAsia" w:eastAsiaTheme="minorEastAsia"/>
          <w:highlight w:val="none"/>
        </w:rPr>
        <w:t>.</w:t>
      </w:r>
      <w:r>
        <w:rPr>
          <w:rFonts w:hint="eastAsia"/>
          <w:bCs/>
          <w:szCs w:val="21"/>
          <w:highlight w:val="none"/>
        </w:rPr>
        <w:t>基金管理人的高级管理人员、基金经理和基金托管人专门基金托管部门负责人发生变动；</w:t>
      </w:r>
    </w:p>
    <w:p w14:paraId="7B02F46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w:t>
      </w:r>
      <w:r>
        <w:rPr>
          <w:rFonts w:asciiTheme="minorEastAsia" w:hAnsiTheme="minorEastAsia" w:eastAsiaTheme="minorEastAsia"/>
          <w:highlight w:val="none"/>
        </w:rPr>
        <w:t>.基金管理人的董事在</w:t>
      </w:r>
      <w:r>
        <w:rPr>
          <w:rFonts w:hint="eastAsia" w:asciiTheme="minorEastAsia" w:hAnsiTheme="minorEastAsia" w:eastAsiaTheme="minorEastAsia"/>
          <w:highlight w:val="none"/>
        </w:rPr>
        <w:t>最近12个月</w:t>
      </w:r>
      <w:r>
        <w:rPr>
          <w:rFonts w:asciiTheme="minorEastAsia" w:hAnsiTheme="minorEastAsia" w:eastAsiaTheme="minorEastAsia"/>
          <w:highlight w:val="none"/>
        </w:rPr>
        <w:t>内变更超过</w:t>
      </w:r>
      <w:r>
        <w:rPr>
          <w:rFonts w:hint="eastAsia" w:asciiTheme="minorEastAsia" w:hAnsiTheme="minorEastAsia" w:eastAsiaTheme="minorEastAsia"/>
          <w:highlight w:val="none"/>
        </w:rPr>
        <w:t>百分之五十，基金管理人、基金托管人专门基金托管部门的主要业务人员在最近12个月内变动超过</w:t>
      </w:r>
      <w:r>
        <w:rPr>
          <w:rFonts w:asciiTheme="minorEastAsia" w:hAnsiTheme="minorEastAsia" w:eastAsiaTheme="minorEastAsia"/>
          <w:highlight w:val="none"/>
        </w:rPr>
        <w:t>30%</w:t>
      </w:r>
      <w:r>
        <w:rPr>
          <w:rFonts w:hint="eastAsia" w:asciiTheme="minorEastAsia" w:hAnsiTheme="minorEastAsia" w:eastAsiaTheme="minorEastAsia"/>
          <w:highlight w:val="none"/>
        </w:rPr>
        <w:t>；</w:t>
      </w:r>
    </w:p>
    <w:p w14:paraId="2EBD671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11.</w:t>
      </w:r>
      <w:r>
        <w:rPr>
          <w:rFonts w:hint="eastAsia" w:asciiTheme="minorEastAsia" w:hAnsiTheme="minorEastAsia" w:eastAsiaTheme="minorEastAsia"/>
          <w:highlight w:val="none"/>
        </w:rPr>
        <w:t>涉及基金管理业务、基金财产、基金托管业务的诉讼或仲裁；</w:t>
      </w:r>
    </w:p>
    <w:p w14:paraId="07DBDAF2">
      <w:pPr>
        <w:spacing w:line="360" w:lineRule="auto"/>
        <w:ind w:firstLine="420" w:firstLineChars="200"/>
        <w:rPr>
          <w:bCs/>
          <w:szCs w:val="21"/>
          <w:highlight w:val="none"/>
        </w:rPr>
      </w:pPr>
      <w:r>
        <w:rPr>
          <w:rFonts w:asciiTheme="minorEastAsia" w:hAnsiTheme="minorEastAsia" w:eastAsiaTheme="minorEastAsia"/>
          <w:highlight w:val="none"/>
        </w:rPr>
        <w:t>12</w:t>
      </w:r>
      <w:r>
        <w:rPr>
          <w:rFonts w:hint="eastAsia" w:asciiTheme="minorEastAsia" w:hAnsiTheme="minorEastAsia" w:eastAsiaTheme="minorEastAsia"/>
          <w:highlight w:val="none"/>
        </w:rPr>
        <w:t>.</w:t>
      </w:r>
      <w:r>
        <w:rPr>
          <w:rFonts w:hint="eastAsia"/>
          <w:bCs/>
          <w:szCs w:val="21"/>
          <w:highlight w:val="none"/>
        </w:rPr>
        <w:t>基金管理人或其高级管理人员、基金经理因基金管理业务相关行为受到重大行政处罚、刑事处罚，基金托管人或其专门基金托管部门负责人因基金托管业务相关行为受到重大行政处罚、刑事处罚；</w:t>
      </w:r>
    </w:p>
    <w:p w14:paraId="0EF96EC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13</w:t>
      </w:r>
      <w:r>
        <w:rPr>
          <w:rFonts w:hint="eastAsia" w:asciiTheme="minorEastAsia" w:hAnsiTheme="minorEastAsia" w:eastAsiaTheme="minorEastAsia"/>
          <w:highlight w:val="none"/>
        </w:rPr>
        <w:t>.</w:t>
      </w:r>
      <w:r>
        <w:rPr>
          <w:rFonts w:hint="eastAsia"/>
          <w:bCs/>
          <w:szCs w:val="21"/>
          <w:highlight w:val="none"/>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789881F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14.</w:t>
      </w:r>
      <w:r>
        <w:rPr>
          <w:rFonts w:hint="eastAsia" w:asciiTheme="minorEastAsia" w:hAnsiTheme="minorEastAsia" w:eastAsiaTheme="minorEastAsia"/>
          <w:highlight w:val="none"/>
        </w:rPr>
        <w:t>基金收益分配事项；</w:t>
      </w:r>
    </w:p>
    <w:p w14:paraId="2C3B0AB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15</w:t>
      </w:r>
      <w:r>
        <w:rPr>
          <w:rFonts w:asciiTheme="minorEastAsia" w:hAnsiTheme="minorEastAsia" w:eastAsiaTheme="minorEastAsia"/>
          <w:highlight w:val="none"/>
        </w:rPr>
        <w:t>.</w:t>
      </w:r>
      <w:r>
        <w:rPr>
          <w:rFonts w:hint="eastAsia" w:asciiTheme="minorEastAsia" w:hAnsiTheme="minorEastAsia" w:eastAsiaTheme="minorEastAsia"/>
          <w:highlight w:val="none"/>
        </w:rPr>
        <w:t>管理费、托管费、销售服务费、申购费、赎回费等费用计提标准、计提方式和费率发生变更；</w:t>
      </w:r>
    </w:p>
    <w:p w14:paraId="4379923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16</w:t>
      </w:r>
      <w:r>
        <w:rPr>
          <w:rFonts w:asciiTheme="minorEastAsia" w:hAnsiTheme="minorEastAsia" w:eastAsiaTheme="minorEastAsia"/>
          <w:highlight w:val="none"/>
        </w:rPr>
        <w:t>.</w:t>
      </w:r>
      <w:r>
        <w:rPr>
          <w:rFonts w:hint="eastAsia" w:asciiTheme="minorEastAsia" w:hAnsiTheme="minorEastAsia" w:eastAsiaTheme="minorEastAsia"/>
          <w:highlight w:val="none"/>
        </w:rPr>
        <w:t>任一类</w:t>
      </w:r>
      <w:r>
        <w:rPr>
          <w:rFonts w:asciiTheme="minorEastAsia" w:hAnsiTheme="minorEastAsia" w:eastAsiaTheme="minorEastAsia"/>
          <w:highlight w:val="none"/>
        </w:rPr>
        <w:t>基金份额净值计价错误达</w:t>
      </w:r>
      <w:r>
        <w:rPr>
          <w:rFonts w:hint="eastAsia" w:asciiTheme="minorEastAsia" w:hAnsiTheme="minorEastAsia" w:eastAsiaTheme="minorEastAsia"/>
          <w:highlight w:val="none"/>
        </w:rPr>
        <w:t>该类</w:t>
      </w:r>
      <w:r>
        <w:rPr>
          <w:rFonts w:asciiTheme="minorEastAsia" w:hAnsiTheme="minorEastAsia" w:eastAsiaTheme="minorEastAsia"/>
          <w:highlight w:val="none"/>
        </w:rPr>
        <w:t>基金份额净值</w:t>
      </w:r>
      <w:r>
        <w:rPr>
          <w:rFonts w:hint="eastAsia" w:asciiTheme="minorEastAsia" w:hAnsiTheme="minorEastAsia" w:eastAsiaTheme="minorEastAsia"/>
          <w:highlight w:val="none"/>
        </w:rPr>
        <w:t>百分之零点五</w:t>
      </w:r>
      <w:r>
        <w:rPr>
          <w:rFonts w:asciiTheme="minorEastAsia" w:hAnsiTheme="minorEastAsia" w:eastAsiaTheme="minorEastAsia"/>
          <w:highlight w:val="none"/>
        </w:rPr>
        <w:t>；</w:t>
      </w:r>
    </w:p>
    <w:p w14:paraId="7A59E95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17</w:t>
      </w:r>
      <w:r>
        <w:rPr>
          <w:rFonts w:asciiTheme="minorEastAsia" w:hAnsiTheme="minorEastAsia" w:eastAsiaTheme="minorEastAsia"/>
          <w:highlight w:val="none"/>
        </w:rPr>
        <w:t>.</w:t>
      </w:r>
      <w:r>
        <w:rPr>
          <w:rFonts w:hint="eastAsia" w:asciiTheme="minorEastAsia" w:hAnsiTheme="minorEastAsia" w:eastAsiaTheme="minorEastAsia"/>
          <w:highlight w:val="none"/>
        </w:rPr>
        <w:t>本基金开始办理申购、赎回；</w:t>
      </w:r>
    </w:p>
    <w:p w14:paraId="682EF70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18</w:t>
      </w:r>
      <w:r>
        <w:rPr>
          <w:rFonts w:asciiTheme="minorEastAsia" w:hAnsiTheme="minorEastAsia" w:eastAsiaTheme="minorEastAsia"/>
          <w:highlight w:val="none"/>
        </w:rPr>
        <w:t>.本基金发生巨额赎回并延期</w:t>
      </w:r>
      <w:r>
        <w:rPr>
          <w:rFonts w:hint="eastAsia" w:asciiTheme="minorEastAsia" w:hAnsiTheme="minorEastAsia" w:eastAsiaTheme="minorEastAsia"/>
          <w:highlight w:val="none"/>
        </w:rPr>
        <w:t>办理</w:t>
      </w:r>
      <w:r>
        <w:rPr>
          <w:rFonts w:asciiTheme="minorEastAsia" w:hAnsiTheme="minorEastAsia" w:eastAsiaTheme="minorEastAsia"/>
          <w:highlight w:val="none"/>
        </w:rPr>
        <w:t>；</w:t>
      </w:r>
    </w:p>
    <w:p w14:paraId="487862B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19</w:t>
      </w:r>
      <w:r>
        <w:rPr>
          <w:rFonts w:asciiTheme="minorEastAsia" w:hAnsiTheme="minorEastAsia" w:eastAsiaTheme="minorEastAsia"/>
          <w:highlight w:val="none"/>
        </w:rPr>
        <w:t>.</w:t>
      </w:r>
      <w:r>
        <w:rPr>
          <w:rFonts w:hint="eastAsia" w:asciiTheme="minorEastAsia" w:hAnsiTheme="minorEastAsia" w:eastAsiaTheme="minorEastAsia"/>
          <w:highlight w:val="none"/>
        </w:rPr>
        <w:t>本基金连续发生巨额赎回并暂停接受赎回申请或延缓支付赎回款项；</w:t>
      </w:r>
    </w:p>
    <w:p w14:paraId="0891C74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20</w:t>
      </w:r>
      <w:r>
        <w:rPr>
          <w:rFonts w:asciiTheme="minorEastAsia" w:hAnsiTheme="minorEastAsia" w:eastAsiaTheme="minorEastAsia"/>
          <w:highlight w:val="none"/>
        </w:rPr>
        <w:t>.</w:t>
      </w:r>
      <w:r>
        <w:rPr>
          <w:rFonts w:hint="eastAsia" w:asciiTheme="minorEastAsia" w:hAnsiTheme="minorEastAsia" w:eastAsiaTheme="minorEastAsia"/>
          <w:highlight w:val="none"/>
        </w:rPr>
        <w:t>本基金暂停接受申购、赎回申请或重新接受申购、赎回申请；</w:t>
      </w:r>
    </w:p>
    <w:p w14:paraId="3B0470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21.发生涉及基金申购、赎回事项调整或潜在影响投资者赎回等重大事项时；</w:t>
      </w:r>
    </w:p>
    <w:p w14:paraId="3803E0D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22.基金管理人采用摆动定价机制进行估值；</w:t>
      </w:r>
    </w:p>
    <w:p w14:paraId="6CBA175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23.变更目标ETF；</w:t>
      </w:r>
    </w:p>
    <w:p w14:paraId="27E32EB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24.调整基金份额类别的设置；</w:t>
      </w:r>
    </w:p>
    <w:p w14:paraId="07A3494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25.基金推出新业务或服务；</w:t>
      </w:r>
    </w:p>
    <w:p w14:paraId="1811F3D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26</w:t>
      </w:r>
      <w:r>
        <w:rPr>
          <w:rFonts w:asciiTheme="minorEastAsia" w:hAnsiTheme="minorEastAsia" w:eastAsiaTheme="minorEastAsia"/>
          <w:highlight w:val="none"/>
        </w:rPr>
        <w:t>.</w:t>
      </w:r>
      <w:r>
        <w:rPr>
          <w:rFonts w:hint="eastAsia" w:asciiTheme="minorEastAsia" w:hAnsiTheme="minorEastAsia" w:eastAsiaTheme="minorEastAsia"/>
          <w:highlight w:val="none"/>
        </w:rPr>
        <w:t>基金信息披露义务人认为可能对基金份额持有人权益或者基金份额的价格产生重大影响的其他事项或中国证监会规定的和《</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》约定的其他事项。</w:t>
      </w:r>
    </w:p>
    <w:p w14:paraId="6AEE2A1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（八）澄清公告</w:t>
      </w:r>
    </w:p>
    <w:p w14:paraId="3C7C0EF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在《</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489E6D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（九）基金份额持有人大会决议</w:t>
      </w:r>
    </w:p>
    <w:p w14:paraId="0DB3C24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基金份额持有人大会决定的事项，应当依法报中国证监会备案，并予以公告。</w:t>
      </w:r>
    </w:p>
    <w:p w14:paraId="433D2D4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（十）清算报告</w:t>
      </w:r>
    </w:p>
    <w:p w14:paraId="41821F5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0E8402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（十一）参与国债期货交易相关公告</w:t>
      </w:r>
    </w:p>
    <w:p w14:paraId="5008C4A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当在季度报告、中期报告、年度报告等定期报告和招募说明书（更新）等文件中披露国债期货交易情况，包括交易政策、持仓情况、损益情况、风险指标、估值方法等，并充分揭示国债期货交易对本基金总体风险的影响以及是否符合既定的交易政策和交易目标。</w:t>
      </w:r>
    </w:p>
    <w:p w14:paraId="456E2E0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w:t>
      </w:r>
      <w:r>
        <w:rPr>
          <w:rFonts w:asciiTheme="minorEastAsia" w:hAnsiTheme="minorEastAsia" w:eastAsiaTheme="minorEastAsia"/>
          <w:highlight w:val="none"/>
        </w:rPr>
        <w:t>二</w:t>
      </w:r>
      <w:r>
        <w:rPr>
          <w:rFonts w:hint="eastAsia" w:asciiTheme="minorEastAsia" w:hAnsiTheme="minorEastAsia" w:eastAsiaTheme="minorEastAsia"/>
          <w:highlight w:val="none"/>
        </w:rPr>
        <w:t>）参与股指期货交易相关公告</w:t>
      </w:r>
    </w:p>
    <w:p w14:paraId="6EFC9F7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在季度报告、中期报告、年度报告等定期报告和招募说明书（更新）等文件中披露股指期货交易情况，包括交易政策、持仓情况、损益情况、风险指标、估值方法等，并充分揭示股指期货交易对基金总体风险的影响以及是否符合既定的交易政策和交易目标等。</w:t>
      </w:r>
    </w:p>
    <w:p w14:paraId="0289A8C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w:t>
      </w:r>
      <w:r>
        <w:rPr>
          <w:rFonts w:asciiTheme="minorEastAsia" w:hAnsiTheme="minorEastAsia" w:eastAsiaTheme="minorEastAsia"/>
          <w:highlight w:val="none"/>
        </w:rPr>
        <w:t>三</w:t>
      </w:r>
      <w:r>
        <w:rPr>
          <w:rFonts w:hint="eastAsia" w:asciiTheme="minorEastAsia" w:hAnsiTheme="minorEastAsia" w:eastAsiaTheme="minorEastAsia"/>
          <w:highlight w:val="none"/>
        </w:rPr>
        <w:t>）投资资产支持证券相关公告</w:t>
      </w:r>
    </w:p>
    <w:p w14:paraId="6080FB8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29D80E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w:t>
      </w:r>
      <w:r>
        <w:rPr>
          <w:rFonts w:asciiTheme="minorEastAsia" w:hAnsiTheme="minorEastAsia" w:eastAsiaTheme="minorEastAsia"/>
          <w:highlight w:val="none"/>
        </w:rPr>
        <w:t>四</w:t>
      </w:r>
      <w:r>
        <w:rPr>
          <w:rFonts w:hint="eastAsia" w:asciiTheme="minorEastAsia" w:hAnsiTheme="minorEastAsia" w:eastAsiaTheme="minorEastAsia"/>
          <w:highlight w:val="none"/>
        </w:rPr>
        <w:t>）投资股票期权相关公告</w:t>
      </w:r>
    </w:p>
    <w:p w14:paraId="4B0D461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投资股票期权的，基金管理人应当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14:paraId="1327C2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w:t>
      </w:r>
      <w:r>
        <w:rPr>
          <w:rFonts w:asciiTheme="minorEastAsia" w:hAnsiTheme="minorEastAsia" w:eastAsiaTheme="minorEastAsia"/>
          <w:highlight w:val="none"/>
        </w:rPr>
        <w:t>五</w:t>
      </w:r>
      <w:r>
        <w:rPr>
          <w:rFonts w:hint="eastAsia" w:asciiTheme="minorEastAsia" w:hAnsiTheme="minorEastAsia" w:eastAsiaTheme="minorEastAsia"/>
          <w:highlight w:val="none"/>
        </w:rPr>
        <w:t>）参与融资和转融通证券出借业务的信息披露</w:t>
      </w:r>
    </w:p>
    <w:p w14:paraId="31100B8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参与融资和转融通证券出借交易的，基金管理人应当在季度报告、中期报告、年度报告等定期报告和招募说明书（更新）等文件中披露参与融资和转融通证券出借交易情况，包括投资策略、业务开展情况、损益情况、风险及其管理情况等，并就报告期内本基金参与转融通证券出借业务发生的重大关联交易事项做详细说明。</w:t>
      </w:r>
    </w:p>
    <w:p w14:paraId="1FF356B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w:t>
      </w:r>
      <w:r>
        <w:rPr>
          <w:rFonts w:asciiTheme="minorEastAsia" w:hAnsiTheme="minorEastAsia" w:eastAsiaTheme="minorEastAsia"/>
          <w:highlight w:val="none"/>
        </w:rPr>
        <w:t>六</w:t>
      </w:r>
      <w:r>
        <w:rPr>
          <w:rFonts w:hint="eastAsia" w:asciiTheme="minorEastAsia" w:hAnsiTheme="minorEastAsia" w:eastAsiaTheme="minorEastAsia"/>
          <w:highlight w:val="none"/>
        </w:rPr>
        <w:t>）</w:t>
      </w:r>
      <w:bookmarkStart w:id="460" w:name="_Hlk103350731"/>
      <w:r>
        <w:rPr>
          <w:rFonts w:hint="eastAsia" w:asciiTheme="minorEastAsia" w:hAnsiTheme="minorEastAsia" w:eastAsiaTheme="minorEastAsia"/>
          <w:highlight w:val="none"/>
        </w:rPr>
        <w:t>投资目标ETF的信息披露</w:t>
      </w:r>
      <w:bookmarkEnd w:id="460"/>
    </w:p>
    <w:p w14:paraId="3E04DDB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本基金在招募说明书（更新）及定期报告等文件中应当设立专门章节披露所持目标ETF以下情况，并揭示相关风险：</w:t>
      </w:r>
    </w:p>
    <w:p w14:paraId="732898E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1、投资策略、持仓情况、损益情况、净值披露时间等；</w:t>
      </w:r>
    </w:p>
    <w:p w14:paraId="49A2110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2、交易及持有目标ETF产生的费用，包括申购费、赎回费、管理费、托管费等，招募说明书（更新）中应当列明计算方法并举例说明；</w:t>
      </w:r>
    </w:p>
    <w:p w14:paraId="7E634B1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3、持有的目标ETF发生的重大影响事件，如转换运作方式、与其他基金合并、终止基金合同以及召开基金份额持有人大会等；</w:t>
      </w:r>
    </w:p>
    <w:p w14:paraId="39C5D08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4、本基金投资于基金管理人以及基金管理人关联方所管理基金的情况。</w:t>
      </w:r>
    </w:p>
    <w:p w14:paraId="71F719C3">
      <w:pPr>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w:t>
      </w:r>
      <w:r>
        <w:rPr>
          <w:rFonts w:asciiTheme="minorEastAsia" w:hAnsiTheme="minorEastAsia" w:eastAsiaTheme="minorEastAsia"/>
          <w:highlight w:val="none"/>
        </w:rPr>
        <w:t>七</w:t>
      </w:r>
      <w:r>
        <w:rPr>
          <w:rFonts w:hint="eastAsia" w:asciiTheme="minorEastAsia" w:hAnsiTheme="minorEastAsia" w:eastAsiaTheme="minorEastAsia"/>
          <w:highlight w:val="none"/>
        </w:rPr>
        <w:t>）</w:t>
      </w:r>
      <w:bookmarkStart w:id="461" w:name="_Hlk103350752"/>
      <w:r>
        <w:rPr>
          <w:rFonts w:hint="eastAsia" w:asciiTheme="minorEastAsia" w:hAnsiTheme="minorEastAsia" w:eastAsiaTheme="minorEastAsia"/>
          <w:highlight w:val="none"/>
        </w:rPr>
        <w:t>基金投资非公开发行股票的信息披露</w:t>
      </w:r>
      <w:bookmarkEnd w:id="461"/>
    </w:p>
    <w:p w14:paraId="45CBC6AD">
      <w:pPr>
        <w:snapToGrid w:val="0"/>
        <w:spacing w:line="360" w:lineRule="auto"/>
        <w:ind w:firstLine="420" w:firstLineChars="200"/>
        <w:rPr>
          <w:rFonts w:asciiTheme="minorEastAsia" w:hAnsiTheme="minorEastAsia" w:eastAsiaTheme="minorEastAsia"/>
          <w:szCs w:val="22"/>
          <w:highlight w:val="none"/>
        </w:rPr>
      </w:pPr>
      <w:r>
        <w:rPr>
          <w:rFonts w:hint="eastAsia" w:asciiTheme="minorEastAsia" w:hAnsiTheme="minorEastAsia" w:eastAsiaTheme="minorEastAsia"/>
          <w:szCs w:val="22"/>
          <w:highlight w:val="none"/>
        </w:rPr>
        <w:t xml:space="preserve">基金管理人应在基金投资非公开发行股票后两个交易日内，在中国证监会规定媒介披露所投资非公开发行股票的名称、数量、总成本、账面价值，以及总成本和账面价值占基金资产净值的比例、锁定期等信息。 </w:t>
      </w:r>
    </w:p>
    <w:p w14:paraId="7EB90BAE">
      <w:pPr>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（十八）</w:t>
      </w:r>
      <w:bookmarkStart w:id="462" w:name="_Hlk103350769"/>
      <w:r>
        <w:rPr>
          <w:rFonts w:hint="eastAsia" w:asciiTheme="minorEastAsia" w:hAnsiTheme="minorEastAsia" w:eastAsiaTheme="minorEastAsia"/>
          <w:highlight w:val="none"/>
        </w:rPr>
        <w:t>实施侧袋机制期间的信息披露</w:t>
      </w:r>
      <w:bookmarkEnd w:id="462"/>
    </w:p>
    <w:p w14:paraId="0ADB1498">
      <w:pPr>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本基金实施侧袋机制的，相关信息披露义务人应当根据法律法规、基金合同和招募说明书的规定进行信息披露，详见招募说明书的规定。</w:t>
      </w:r>
    </w:p>
    <w:p w14:paraId="234E2A3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（十九）中国证监会规定的其他信息</w:t>
      </w:r>
    </w:p>
    <w:p w14:paraId="37A4405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六、信息披露事务管理</w:t>
      </w:r>
    </w:p>
    <w:p w14:paraId="013E9A5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基金管理人、基金托管人应当建立健全信息披露管理制度，指定专门部门及高级管理人员负责管理信息披露事务。</w:t>
      </w:r>
    </w:p>
    <w:p w14:paraId="7394FFB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基金信息披露义务人公开披露基金信息，应当符合中国证监会相关基金信息披露内容与格式准则等法规的规定。</w:t>
      </w:r>
    </w:p>
    <w:p w14:paraId="71B3CD0E">
      <w:pPr>
        <w:adjustRightInd w:val="0"/>
        <w:snapToGrid w:val="0"/>
        <w:spacing w:line="360" w:lineRule="auto"/>
        <w:ind w:firstLine="420" w:firstLineChars="200"/>
        <w:rPr>
          <w:rFonts w:asciiTheme="minorEastAsia" w:hAnsiTheme="minorEastAsia" w:eastAsiaTheme="minorEastAsia"/>
          <w:highlight w:val="none"/>
        </w:rPr>
      </w:pPr>
      <w:bookmarkStart w:id="463" w:name="_Hlk103615716"/>
      <w:r>
        <w:rPr>
          <w:rFonts w:hint="eastAsia" w:asciiTheme="minorEastAsia" w:hAnsiTheme="minorEastAsia" w:eastAsiaTheme="minorEastAsia"/>
          <w:highlight w:val="none"/>
        </w:rPr>
        <w:t>基金托管人应当按照相关法律法规、中国证监会的规定和《基金合同》的约定，对基金管理人编制的</w:t>
      </w:r>
      <w:bookmarkStart w:id="464" w:name="_Hlk103615764"/>
      <w:r>
        <w:rPr>
          <w:rFonts w:hint="eastAsia" w:asciiTheme="minorEastAsia" w:hAnsiTheme="minorEastAsia" w:eastAsiaTheme="minorEastAsia"/>
          <w:highlight w:val="none"/>
        </w:rPr>
        <w:t>基金资产净值、各类基金份额净值、基金份额申购赎回价格</w:t>
      </w:r>
      <w:bookmarkEnd w:id="464"/>
      <w:r>
        <w:rPr>
          <w:rFonts w:hint="eastAsia" w:asciiTheme="minorEastAsia" w:hAnsiTheme="minorEastAsia" w:eastAsiaTheme="minorEastAsia"/>
          <w:highlight w:val="none"/>
        </w:rPr>
        <w:t>、基金定期报告、更新的招募说明书、基金产品资料概要、基金清算报告等公开披露的相关基金信息进行复核、审查，并向基金管理人进行书面或电子确认。</w:t>
      </w:r>
    </w:p>
    <w:bookmarkEnd w:id="463"/>
    <w:p w14:paraId="4FAC51D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70D17F5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基金管理人、基金托管人除依法在规定媒介上披露信息外，还可以根据需要在其他公共媒介披露信息，但是其他公共媒介不得早于规定媒介披露信息，并且在不同媒介上披露同一信息的内容应当一致。</w:t>
      </w:r>
    </w:p>
    <w:p w14:paraId="76CD7FF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为基金信息披露义务人公开披露的基金信息出具审计报告、法律意见书的专业机构，应当制作工作底稿，并将相关档案至少保存到《基金合同》终止后</w:t>
      </w:r>
      <w:r>
        <w:rPr>
          <w:rFonts w:asciiTheme="minorEastAsia" w:hAnsiTheme="minorEastAsia" w:eastAsiaTheme="minorEastAsia"/>
          <w:highlight w:val="none"/>
        </w:rPr>
        <w:t>10</w:t>
      </w:r>
      <w:r>
        <w:rPr>
          <w:rFonts w:hint="eastAsia" w:asciiTheme="minorEastAsia" w:hAnsiTheme="minorEastAsia" w:eastAsiaTheme="minorEastAsia"/>
          <w:highlight w:val="none"/>
        </w:rPr>
        <w:t>年。</w:t>
      </w:r>
    </w:p>
    <w:p w14:paraId="00BFE8A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七、信息披露文件的存放与查阅</w:t>
      </w:r>
    </w:p>
    <w:p w14:paraId="0935DF24">
      <w:pPr>
        <w:adjustRightInd w:val="0"/>
        <w:snapToGrid w:val="0"/>
        <w:spacing w:line="360" w:lineRule="auto"/>
        <w:ind w:firstLine="420" w:firstLineChars="200"/>
        <w:rPr>
          <w:rFonts w:asciiTheme="minorEastAsia" w:hAnsiTheme="minorEastAsia" w:eastAsiaTheme="minorEastAsia"/>
          <w:highlight w:val="none"/>
        </w:rPr>
      </w:pPr>
      <w:bookmarkStart w:id="465" w:name="_Hlk103615791"/>
      <w:r>
        <w:rPr>
          <w:rFonts w:hint="eastAsia" w:asciiTheme="minorEastAsia" w:hAnsiTheme="minorEastAsia" w:eastAsiaTheme="minorEastAsia"/>
          <w:highlight w:val="none"/>
        </w:rPr>
        <w:t>依法必须披露的信息发布后，基金管理人、基金托管人应当按照相关法律法规规定将信息置备于公司住所，供社会公众查阅、复制。</w:t>
      </w:r>
      <w:bookmarkEnd w:id="465"/>
    </w:p>
    <w:p w14:paraId="1E88D70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八、暂停或延迟信息披露的情形</w:t>
      </w:r>
    </w:p>
    <w:p w14:paraId="4E3B9819">
      <w:pPr>
        <w:adjustRightInd w:val="0"/>
        <w:snapToGrid w:val="0"/>
        <w:spacing w:line="360" w:lineRule="auto"/>
        <w:ind w:firstLine="420" w:firstLineChars="200"/>
        <w:rPr>
          <w:rFonts w:asciiTheme="minorEastAsia" w:hAnsiTheme="minorEastAsia" w:eastAsiaTheme="minorEastAsia"/>
          <w:highlight w:val="none"/>
        </w:rPr>
      </w:pPr>
      <w:bookmarkStart w:id="466" w:name="_Hlk103615649"/>
      <w:r>
        <w:rPr>
          <w:rFonts w:hint="eastAsia" w:asciiTheme="minorEastAsia" w:hAnsiTheme="minorEastAsia" w:eastAsiaTheme="minorEastAsia"/>
          <w:highlight w:val="none"/>
        </w:rPr>
        <w:t>1、不可抗力；</w:t>
      </w:r>
    </w:p>
    <w:p w14:paraId="0009D8A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w:t>
      </w:r>
      <w:bookmarkStart w:id="467" w:name="_Hlk186896448"/>
      <w:bookmarkStart w:id="468" w:name="_Hlk103615637"/>
      <w:r>
        <w:rPr>
          <w:rFonts w:hint="eastAsia" w:asciiTheme="minorEastAsia" w:hAnsiTheme="minorEastAsia" w:eastAsiaTheme="minorEastAsia"/>
          <w:highlight w:val="none"/>
        </w:rPr>
        <w:t>发生基金合同约定的暂停估值的情形</w:t>
      </w:r>
      <w:bookmarkEnd w:id="467"/>
      <w:r>
        <w:rPr>
          <w:rFonts w:hint="eastAsia" w:asciiTheme="minorEastAsia" w:hAnsiTheme="minorEastAsia" w:eastAsiaTheme="minorEastAsia"/>
          <w:highlight w:val="none"/>
        </w:rPr>
        <w:t>；</w:t>
      </w:r>
      <w:bookmarkEnd w:id="468"/>
    </w:p>
    <w:p w14:paraId="4EB1970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、法律法规、中国证监会规定的或基金合同认定的其他情形。</w:t>
      </w:r>
    </w:p>
    <w:bookmarkEnd w:id="466"/>
    <w:p w14:paraId="58BD46BB">
      <w:pPr>
        <w:adjustRightInd w:val="0"/>
        <w:snapToGrid w:val="0"/>
        <w:spacing w:line="360" w:lineRule="auto"/>
        <w:ind w:firstLine="420" w:firstLineChars="200"/>
        <w:rPr>
          <w:rFonts w:asciiTheme="minorEastAsia" w:hAnsiTheme="minorEastAsia" w:eastAsiaTheme="minorEastAsia"/>
          <w:highlight w:val="none"/>
        </w:rPr>
        <w:sectPr>
          <w:footerReference r:id="rId23" w:type="default"/>
          <w:pgSz w:w="11906" w:h="16838"/>
          <w:pgMar w:top="1418" w:right="1701" w:bottom="1418" w:left="1701" w:header="851" w:footer="992" w:gutter="0"/>
          <w:pgNumType w:start="1"/>
          <w:cols w:space="425" w:num="1"/>
          <w:formProt w:val="0"/>
          <w:docGrid w:type="lines" w:linePitch="312" w:charSpace="0"/>
        </w:sectPr>
      </w:pPr>
    </w:p>
    <w:bookmarkEnd w:id="457"/>
    <w:p w14:paraId="17D9D7E1">
      <w:pPr>
        <w:pStyle w:val="3"/>
        <w:adjustRightInd w:val="0"/>
        <w:snapToGrid w:val="0"/>
        <w:spacing w:before="312" w:beforeLines="100" w:after="0" w:line="360" w:lineRule="auto"/>
        <w:rPr>
          <w:rFonts w:cs="Arial" w:asciiTheme="minorEastAsia" w:hAnsiTheme="minorEastAsia" w:eastAsiaTheme="minorEastAsia"/>
          <w:sz w:val="21"/>
          <w:szCs w:val="21"/>
          <w:highlight w:val="none"/>
        </w:rPr>
      </w:pPr>
      <w:bookmarkStart w:id="469" w:name="_Toc16237244"/>
      <w:bookmarkStart w:id="470" w:name="_Toc90742336"/>
      <w:bookmarkStart w:id="471" w:name="_Toc90742405"/>
      <w:bookmarkStart w:id="472" w:name="CLAUSE_eb1f854d6636425faf420d223c57a37d"/>
      <w:r>
        <w:rPr>
          <w:rFonts w:hint="eastAsia" w:cs="Arial" w:asciiTheme="minorEastAsia" w:hAnsiTheme="minorEastAsia" w:eastAsiaTheme="minorEastAsia"/>
          <w:sz w:val="21"/>
          <w:szCs w:val="21"/>
          <w:highlight w:val="none"/>
        </w:rPr>
        <w:t xml:space="preserve">第十九部分 </w:t>
      </w:r>
      <w:bookmarkStart w:id="473" w:name="CTS_eb1f854d6636425faf420d223c57a37d"/>
      <w:bookmarkEnd w:id="473"/>
      <w:bookmarkStart w:id="474" w:name="_Hlt88828593"/>
      <w:r>
        <w:rPr>
          <w:rFonts w:hint="eastAsia" w:cs="Arial" w:asciiTheme="minorEastAsia" w:hAnsiTheme="minorEastAsia" w:eastAsiaTheme="minorEastAsia"/>
          <w:sz w:val="21"/>
          <w:szCs w:val="21"/>
          <w:highlight w:val="none"/>
        </w:rPr>
        <w:t>基金合同</w:t>
      </w:r>
      <w:bookmarkEnd w:id="474"/>
      <w:r>
        <w:rPr>
          <w:rFonts w:hint="eastAsia" w:cs="Arial" w:asciiTheme="minorEastAsia" w:hAnsiTheme="minorEastAsia" w:eastAsiaTheme="minorEastAsia"/>
          <w:sz w:val="21"/>
          <w:szCs w:val="21"/>
          <w:highlight w:val="none"/>
        </w:rPr>
        <w:t>的变更、终止与基金财产的清算</w:t>
      </w:r>
      <w:bookmarkEnd w:id="469"/>
      <w:bookmarkEnd w:id="470"/>
      <w:bookmarkEnd w:id="471"/>
    </w:p>
    <w:p w14:paraId="27963376">
      <w:pPr>
        <w:spacing w:line="360" w:lineRule="auto"/>
        <w:ind w:firstLine="480" w:firstLineChars="200"/>
        <w:rPr>
          <w:rFonts w:asciiTheme="minorEastAsia" w:hAnsiTheme="minorEastAsia" w:eastAsiaTheme="minorEastAsia"/>
          <w:bCs/>
          <w:sz w:val="24"/>
          <w:highlight w:val="none"/>
        </w:rPr>
      </w:pPr>
      <w:bookmarkStart w:id="475" w:name="_Toc79392639"/>
    </w:p>
    <w:p w14:paraId="01E7E0A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一、《基金合同》的变更</w:t>
      </w:r>
      <w:bookmarkEnd w:id="475"/>
    </w:p>
    <w:p w14:paraId="411846B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14:paraId="5E90950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、关于《基金合同》变更的基金份额持有人大会决议自生效后方可执行，并自决议生效后按规定在规定媒介公告。</w:t>
      </w:r>
    </w:p>
    <w:p w14:paraId="22C0C54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二、《基金合同》的终止事由</w:t>
      </w:r>
    </w:p>
    <w:p w14:paraId="7A88035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有下列情形之一的，经履行相关程序后，《基金合同》应当终止：</w:t>
      </w:r>
    </w:p>
    <w:p w14:paraId="71FFEA1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、基金份额持有人大会决定终止的；</w:t>
      </w:r>
    </w:p>
    <w:p w14:paraId="24DF4BD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、基金管理人、基金托管人职责终止，在</w:t>
      </w:r>
      <w:r>
        <w:rPr>
          <w:rFonts w:asciiTheme="minorEastAsia" w:hAnsiTheme="minorEastAsia" w:eastAsiaTheme="minorEastAsia"/>
          <w:highlight w:val="none"/>
        </w:rPr>
        <w:t>6</w:t>
      </w:r>
      <w:r>
        <w:rPr>
          <w:rFonts w:hint="eastAsia" w:asciiTheme="minorEastAsia" w:hAnsiTheme="minorEastAsia" w:eastAsiaTheme="minorEastAsia"/>
          <w:highlight w:val="none"/>
        </w:rPr>
        <w:t>个月内没有新基金管理人、新基金托管人承接的；</w:t>
      </w:r>
    </w:p>
    <w:p w14:paraId="7B305C3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3、《基金合同》约定的其他情形；</w:t>
      </w:r>
    </w:p>
    <w:p w14:paraId="092FCEC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4、相关法律法规和中国证监会规定的其他情况。</w:t>
      </w:r>
    </w:p>
    <w:p w14:paraId="69B582A4">
      <w:pPr>
        <w:adjustRightInd w:val="0"/>
        <w:snapToGrid w:val="0"/>
        <w:spacing w:line="360" w:lineRule="auto"/>
        <w:ind w:firstLine="420" w:firstLineChars="200"/>
        <w:rPr>
          <w:rFonts w:asciiTheme="minorEastAsia" w:hAnsiTheme="minorEastAsia" w:eastAsiaTheme="minorEastAsia"/>
          <w:highlight w:val="none"/>
        </w:rPr>
      </w:pPr>
      <w:bookmarkStart w:id="476" w:name="_Hlk103616593"/>
      <w:r>
        <w:rPr>
          <w:rFonts w:hint="eastAsia" w:asciiTheme="minorEastAsia" w:hAnsiTheme="minorEastAsia" w:eastAsiaTheme="minorEastAsia"/>
          <w:highlight w:val="none"/>
        </w:rPr>
        <w:t>三、基金财产的清算</w:t>
      </w:r>
    </w:p>
    <w:p w14:paraId="0C9FF7C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、基金财产清算小组：自出现《基金合同》终止事由之日起</w:t>
      </w:r>
      <w:r>
        <w:rPr>
          <w:rFonts w:asciiTheme="minorEastAsia" w:hAnsiTheme="minorEastAsia" w:eastAsiaTheme="minorEastAsia"/>
          <w:highlight w:val="none"/>
        </w:rPr>
        <w:t>30</w:t>
      </w:r>
      <w:r>
        <w:rPr>
          <w:rFonts w:hint="eastAsia" w:asciiTheme="minorEastAsia" w:hAnsiTheme="minorEastAsia" w:eastAsiaTheme="minorEastAsia"/>
          <w:highlight w:val="none"/>
        </w:rPr>
        <w:t>个工作日内成立基金财产清算小组，基金管理人组织基金财产清算小组并在中国证监会的监督下进行基金清算。</w:t>
      </w:r>
    </w:p>
    <w:p w14:paraId="752A865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、基金财产清算小组组成：基金财产清算小组成员由基金管理人、基金托管人、</w:t>
      </w:r>
      <w:r>
        <w:rPr>
          <w:rFonts w:hint="eastAsia" w:asciiTheme="minorEastAsia" w:hAnsiTheme="minorEastAsia" w:eastAsiaTheme="minorEastAsia"/>
          <w:bCs/>
          <w:highlight w:val="none"/>
        </w:rPr>
        <w:t>符合《中华人民共和国证券法》规定的</w:t>
      </w:r>
      <w:r>
        <w:rPr>
          <w:rFonts w:hint="eastAsia" w:asciiTheme="minorEastAsia" w:hAnsiTheme="minorEastAsia" w:eastAsiaTheme="minorEastAsia"/>
          <w:highlight w:val="none"/>
        </w:rPr>
        <w:t>注册会计师、律师以及中国证监会指定的人员组成。基金财产清算小组可以聘用必要的工作人员。</w:t>
      </w:r>
    </w:p>
    <w:p w14:paraId="7B34186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、基金财产清算小组职责：基金财产清算小组负责基金财产的保管、清理、估价、变现和分配。基金财产清算小组可以依法进行必要的民事活动。</w:t>
      </w:r>
    </w:p>
    <w:p w14:paraId="71468222">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、基金财产清算程序：</w:t>
      </w:r>
    </w:p>
    <w:p w14:paraId="40500B7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）《基金合同》终止情形出现时，由基金财产清算小组统一接管基金；</w:t>
      </w:r>
    </w:p>
    <w:p w14:paraId="0D9B9EF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）对基金财产和债权债务进行清理和确认；</w:t>
      </w:r>
    </w:p>
    <w:p w14:paraId="3144EC2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）对基金财产进行估值和变现；</w:t>
      </w:r>
    </w:p>
    <w:p w14:paraId="318BE18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）制作清算报告；</w:t>
      </w:r>
    </w:p>
    <w:p w14:paraId="221AC66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）聘请会计师事务所对清算报告进行外部审计，聘请律师事务所对清算报告出具法律意见书；</w:t>
      </w:r>
    </w:p>
    <w:p w14:paraId="43EAA7B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）将清算报告报中国证监会备案并公告；</w:t>
      </w:r>
    </w:p>
    <w:p w14:paraId="3BA42FC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）对基金剩余财产进行分配。</w:t>
      </w:r>
    </w:p>
    <w:p w14:paraId="772F93C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、基金财产清算的期限为6个月，但因本基金所持证券的流动性受到限制而不能及时变现的，清算期限相应顺延。</w:t>
      </w:r>
    </w:p>
    <w:p w14:paraId="7DFB654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四、清算费用</w:t>
      </w:r>
    </w:p>
    <w:p w14:paraId="3BECEB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清算费用是指基金财产清算小组在进行基金财产清算过程中发生的所有合理费用，清算费用由基金财产清算小组优先从基金剩余财产中支付。</w:t>
      </w:r>
    </w:p>
    <w:p w14:paraId="12178E3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五、基金财产清算剩余资产的分配</w:t>
      </w:r>
    </w:p>
    <w:p w14:paraId="467E670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依据基金财产清算的分配方案，将基金财产清算后的全部剩余资产扣除基金财产清算费用、交纳所欠税款并清偿基金债务后，按基金份额持有人持有的基金份额比例进行分配。</w:t>
      </w:r>
    </w:p>
    <w:p w14:paraId="28E2AB1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六、基金财产清算的公告</w:t>
      </w:r>
    </w:p>
    <w:p w14:paraId="44D4658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清算过程中的有关重大事项须及时公告；基金财产清算报告经</w:t>
      </w:r>
      <w:r>
        <w:rPr>
          <w:rFonts w:hint="eastAsia" w:asciiTheme="minorEastAsia" w:hAnsiTheme="minorEastAsia" w:eastAsiaTheme="minorEastAsia"/>
          <w:bCs/>
          <w:highlight w:val="none"/>
        </w:rPr>
        <w:t>符合《中华人民共和国证券法》规定的</w:t>
      </w:r>
      <w:r>
        <w:rPr>
          <w:rFonts w:hint="eastAsia" w:asciiTheme="minorEastAsia" w:hAnsiTheme="minorEastAsia" w:eastAsiaTheme="minorEastAsia"/>
          <w:highlight w:val="none"/>
        </w:rPr>
        <w:t>会计师事务所审计并由律师事务所出具法律意见书后报中国证监会备案并公告。基金财产清算公告于基金财产清算报告报中国证监会备案后</w:t>
      </w:r>
      <w:r>
        <w:rPr>
          <w:rFonts w:asciiTheme="minorEastAsia" w:hAnsiTheme="minorEastAsia" w:eastAsiaTheme="minorEastAsia"/>
          <w:highlight w:val="none"/>
        </w:rPr>
        <w:t>5</w:t>
      </w:r>
      <w:r>
        <w:rPr>
          <w:rFonts w:hint="eastAsia" w:asciiTheme="minorEastAsia" w:hAnsiTheme="minorEastAsia" w:eastAsiaTheme="minorEastAsia"/>
          <w:highlight w:val="none"/>
        </w:rPr>
        <w:t>个工作日内由基金财产清算小组进行公告，基金财产清算小组应当将清算报告登载在规定网站上，并将清算报告提示性公告登载在规定报刊上。</w:t>
      </w:r>
    </w:p>
    <w:p w14:paraId="5640464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七、基金财产清算账册及文件的保存</w:t>
      </w:r>
    </w:p>
    <w:p w14:paraId="25D3763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基金财产清算账册及有关文件由基金托管人保存</w:t>
      </w:r>
      <w:bookmarkStart w:id="477" w:name="_Hlk103616646"/>
      <w:r>
        <w:rPr>
          <w:rFonts w:hint="eastAsia" w:asciiTheme="minorEastAsia" w:hAnsiTheme="minorEastAsia" w:eastAsiaTheme="minorEastAsia"/>
          <w:highlight w:val="none"/>
        </w:rPr>
        <w:t>，保存期限不低于</w:t>
      </w:r>
      <w:r>
        <w:rPr>
          <w:rFonts w:asciiTheme="minorEastAsia" w:hAnsiTheme="minorEastAsia" w:eastAsiaTheme="minorEastAsia"/>
          <w:highlight w:val="none"/>
        </w:rPr>
        <w:t>法律法规规定的最低期限</w:t>
      </w:r>
      <w:bookmarkEnd w:id="477"/>
      <w:r>
        <w:rPr>
          <w:rFonts w:hint="eastAsia" w:asciiTheme="minorEastAsia" w:hAnsiTheme="minorEastAsia" w:eastAsiaTheme="minorEastAsia"/>
          <w:highlight w:val="none"/>
        </w:rPr>
        <w:t>。</w:t>
      </w:r>
    </w:p>
    <w:bookmarkEnd w:id="476"/>
    <w:p w14:paraId="2CE233CC">
      <w:pPr>
        <w:adjustRightInd w:val="0"/>
        <w:snapToGrid w:val="0"/>
        <w:spacing w:line="360" w:lineRule="auto"/>
        <w:ind w:firstLine="420"/>
        <w:rPr>
          <w:rFonts w:asciiTheme="minorEastAsia" w:hAnsiTheme="minorEastAsia" w:eastAsiaTheme="minorEastAsia"/>
          <w:highlight w:val="none"/>
        </w:rPr>
      </w:pPr>
    </w:p>
    <w:p w14:paraId="66D5A4E9">
      <w:pPr>
        <w:pStyle w:val="3"/>
        <w:adjustRightInd w:val="0"/>
        <w:snapToGrid w:val="0"/>
        <w:spacing w:before="0" w:after="0" w:line="360" w:lineRule="auto"/>
        <w:rPr>
          <w:rFonts w:asciiTheme="minorEastAsia" w:hAnsiTheme="minorEastAsia" w:eastAsiaTheme="minorEastAsia"/>
          <w:sz w:val="21"/>
          <w:highlight w:val="none"/>
        </w:rPr>
        <w:sectPr>
          <w:footerReference r:id="rId24" w:type="default"/>
          <w:pgSz w:w="11906" w:h="16838"/>
          <w:pgMar w:top="1418" w:right="1701" w:bottom="1418" w:left="1701" w:header="851" w:footer="992" w:gutter="0"/>
          <w:pgNumType w:start="1"/>
          <w:cols w:space="425" w:num="1"/>
          <w:formProt w:val="0"/>
          <w:docGrid w:type="lines" w:linePitch="312" w:charSpace="0"/>
        </w:sectPr>
      </w:pPr>
      <w:bookmarkStart w:id="478" w:name="_Toc8710"/>
      <w:bookmarkStart w:id="479" w:name="_Toc141703901"/>
      <w:bookmarkStart w:id="480" w:name="_Toc23022"/>
      <w:bookmarkStart w:id="481" w:name="_Toc139991750"/>
      <w:bookmarkStart w:id="482" w:name="_Toc48649720"/>
      <w:bookmarkStart w:id="483" w:name="_Toc27058"/>
      <w:bookmarkStart w:id="484" w:name="_Toc12191"/>
      <w:bookmarkStart w:id="485" w:name="_Toc13398"/>
      <w:bookmarkStart w:id="486" w:name="_Toc123112248"/>
      <w:bookmarkStart w:id="487" w:name="_Toc28549"/>
      <w:bookmarkStart w:id="488" w:name="_Toc123102467"/>
      <w:bookmarkStart w:id="489" w:name="_Toc90742406"/>
      <w:bookmarkStart w:id="490" w:name="_Toc123051466"/>
      <w:bookmarkStart w:id="491" w:name="_Toc23166"/>
      <w:bookmarkStart w:id="492" w:name="_Toc21240"/>
      <w:bookmarkStart w:id="493" w:name="_Toc30645"/>
      <w:bookmarkStart w:id="494" w:name="_Toc90742337"/>
      <w:bookmarkStart w:id="495" w:name="_Toc9708"/>
      <w:bookmarkStart w:id="496" w:name="_Toc79392641"/>
      <w:bookmarkStart w:id="497" w:name="_Toc98560365"/>
      <w:bookmarkStart w:id="498" w:name="_Toc7367"/>
    </w:p>
    <w:bookmarkEnd w:id="472"/>
    <w:p w14:paraId="0B8526E1">
      <w:pPr>
        <w:pStyle w:val="3"/>
        <w:adjustRightInd w:val="0"/>
        <w:snapToGrid w:val="0"/>
        <w:spacing w:before="312" w:beforeLines="100" w:after="0" w:line="360" w:lineRule="auto"/>
        <w:rPr>
          <w:rFonts w:asciiTheme="minorEastAsia" w:hAnsiTheme="minorEastAsia" w:eastAsiaTheme="minorEastAsia"/>
          <w:sz w:val="21"/>
          <w:highlight w:val="none"/>
        </w:rPr>
      </w:pPr>
      <w:bookmarkStart w:id="499" w:name="_Toc16237245"/>
      <w:bookmarkStart w:id="500" w:name="CLAUSE_ad84e37c9f19467ca047e5e92341fb4b"/>
      <w:r>
        <w:rPr>
          <w:rFonts w:hint="eastAsia" w:cs="Arial" w:asciiTheme="minorEastAsia" w:hAnsiTheme="minorEastAsia" w:eastAsiaTheme="minorEastAsia"/>
          <w:sz w:val="21"/>
          <w:szCs w:val="21"/>
          <w:highlight w:val="none"/>
        </w:rPr>
        <w:t xml:space="preserve">第二十部分 </w:t>
      </w:r>
      <w:bookmarkStart w:id="501" w:name="CTS_ad84e37c9f19467ca047e5e92341fb4b"/>
      <w:bookmarkEnd w:id="501"/>
      <w:r>
        <w:rPr>
          <w:rFonts w:hint="eastAsia" w:asciiTheme="minorEastAsia" w:hAnsiTheme="minorEastAsia" w:eastAsiaTheme="minorEastAsia"/>
          <w:sz w:val="21"/>
          <w:highlight w:val="none"/>
        </w:rPr>
        <w:t>违约责任</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2B95DF0B">
      <w:pPr>
        <w:spacing w:line="360" w:lineRule="auto"/>
        <w:ind w:firstLine="480" w:firstLineChars="200"/>
        <w:rPr>
          <w:rFonts w:asciiTheme="minorEastAsia" w:hAnsiTheme="minorEastAsia" w:eastAsiaTheme="minorEastAsia"/>
          <w:bCs/>
          <w:sz w:val="24"/>
          <w:highlight w:val="none"/>
        </w:rPr>
      </w:pPr>
    </w:p>
    <w:p w14:paraId="744AFBA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一、基金管理人、基金托管人在履行各自职责的过程中，违反《基金法》等法律法规的规定或者《基金合同》约定，</w:t>
      </w:r>
      <w:bookmarkStart w:id="502" w:name="_Hlk103616680"/>
      <w:r>
        <w:rPr>
          <w:rFonts w:hint="eastAsia" w:asciiTheme="minorEastAsia" w:hAnsiTheme="minorEastAsia" w:eastAsiaTheme="minorEastAsia"/>
          <w:highlight w:val="none"/>
        </w:rPr>
        <w:t>给基金财产或者基金份额持有人造成损害的，应当分别对各自的行为依法承担赔偿责任；因共同行为给基金财产或者基金份额持有人造成损害的，应当承担连带赔偿责任</w:t>
      </w:r>
      <w:bookmarkEnd w:id="502"/>
      <w:r>
        <w:rPr>
          <w:rFonts w:hint="eastAsia" w:asciiTheme="minorEastAsia" w:hAnsiTheme="minorEastAsia" w:eastAsiaTheme="minorEastAsia"/>
          <w:highlight w:val="none"/>
        </w:rPr>
        <w:t>。对损失的赔偿，仅限于直接损失。但是发生下列情况的，当事人免责：</w:t>
      </w:r>
    </w:p>
    <w:p w14:paraId="459AEA5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、不可抗力；</w:t>
      </w:r>
    </w:p>
    <w:p w14:paraId="50057BC9">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、基金管理人和</w:t>
      </w:r>
      <w:r>
        <w:rPr>
          <w:rFonts w:asciiTheme="minorEastAsia" w:hAnsiTheme="minorEastAsia" w:eastAsiaTheme="minorEastAsia"/>
          <w:highlight w:val="none"/>
        </w:rPr>
        <w:t>/</w:t>
      </w:r>
      <w:r>
        <w:rPr>
          <w:rFonts w:hint="eastAsia" w:asciiTheme="minorEastAsia" w:hAnsiTheme="minorEastAsia" w:eastAsiaTheme="minorEastAsia"/>
          <w:highlight w:val="none"/>
        </w:rPr>
        <w:t>或基金托管人按照当时有效的法律法规或中国证监会的规定作为或不作为而造成的损失等；</w:t>
      </w:r>
    </w:p>
    <w:p w14:paraId="7C40D78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在没有过错的情况下，</w:t>
      </w:r>
      <w:r>
        <w:rPr>
          <w:rFonts w:hint="eastAsia" w:asciiTheme="minorEastAsia" w:hAnsiTheme="minorEastAsia" w:eastAsiaTheme="minorEastAsia"/>
          <w:highlight w:val="none"/>
        </w:rPr>
        <w:t>基金管理人由于按照基金合同规定行使或不行使其投资权而造成的损失等。</w:t>
      </w:r>
    </w:p>
    <w:p w14:paraId="740E22E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二、在发生一方或多方违约的情况下，在最大限度地保护基金份额持有人利益的前提下，《基金合同》能够继续履行的应当继续履行。</w:t>
      </w:r>
      <w:bookmarkStart w:id="503" w:name="_Hlk103616800"/>
      <w:r>
        <w:rPr>
          <w:rFonts w:hint="eastAsia" w:asciiTheme="minorEastAsia" w:hAnsiTheme="minorEastAsia" w:eastAsiaTheme="minorEastAsia"/>
          <w:highlight w:val="none"/>
        </w:rPr>
        <w:t>非违约方当事人在职责范围内有义务及时采取必要的措施，防止损失的扩大。没有采取适当措施致使损失进一步扩大的，不得就扩大的损失要求赔偿。非违约方因防止损失扩大而支出的合理费用由违约方承担。</w:t>
      </w:r>
      <w:bookmarkEnd w:id="503"/>
      <w:r>
        <w:rPr>
          <w:rFonts w:asciiTheme="minorEastAsia" w:hAnsiTheme="minorEastAsia" w:eastAsiaTheme="minorEastAsia"/>
          <w:highlight w:val="none"/>
        </w:rPr>
        <w:t xml:space="preserve"> </w:t>
      </w:r>
    </w:p>
    <w:p w14:paraId="262FC18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三、</w:t>
      </w:r>
      <w:bookmarkStart w:id="504" w:name="_Hlk103616834"/>
      <w:r>
        <w:rPr>
          <w:rFonts w:hint="eastAsia" w:asciiTheme="minorEastAsia" w:hAnsiTheme="minorEastAsia" w:eastAsiaTheme="minorEastAsia"/>
          <w:highlight w:val="none"/>
        </w:rPr>
        <w:t>由于基金管理人、基金托管人不可控制的因素导致业务出现差错，基金管理人和基金托管人虽然已经采取必要、适当、合理的措施进行检查，但是未能发现错误</w:t>
      </w:r>
      <w:r>
        <w:rPr>
          <w:rFonts w:hint="eastAsia" w:asciiTheme="minorEastAsia" w:hAnsiTheme="minorEastAsia" w:eastAsiaTheme="minorEastAsia"/>
          <w:highlight w:val="none"/>
          <w:lang w:val="en-US" w:eastAsia="zh-CN"/>
        </w:rPr>
        <w:t>或未能避免错误发生</w:t>
      </w:r>
      <w:r>
        <w:rPr>
          <w:rFonts w:hint="eastAsia" w:asciiTheme="minorEastAsia" w:hAnsiTheme="minorEastAsia" w:eastAsiaTheme="minorEastAsia"/>
          <w:highlight w:val="none"/>
        </w:rPr>
        <w:t>的，由此造成基金财产或投资人损失，基金管理人和基金托管人免除赔偿责任。但是基金管理人和基金托管人应积极采取必要的措施消除或减轻由此造成的影响。</w:t>
      </w:r>
      <w:bookmarkEnd w:id="504"/>
    </w:p>
    <w:p w14:paraId="4C5549B8">
      <w:pPr>
        <w:adjustRightInd w:val="0"/>
        <w:snapToGrid w:val="0"/>
        <w:spacing w:line="360" w:lineRule="auto"/>
        <w:ind w:firstLine="420" w:firstLineChars="200"/>
        <w:rPr>
          <w:rFonts w:asciiTheme="minorEastAsia" w:hAnsiTheme="minorEastAsia" w:eastAsiaTheme="minorEastAsia"/>
          <w:highlight w:val="none"/>
        </w:rPr>
      </w:pPr>
    </w:p>
    <w:p w14:paraId="73F749AC">
      <w:pPr>
        <w:spacing w:line="360" w:lineRule="auto"/>
        <w:ind w:firstLine="480" w:firstLineChars="200"/>
        <w:rPr>
          <w:rFonts w:asciiTheme="minorEastAsia" w:hAnsiTheme="minorEastAsia" w:eastAsiaTheme="minorEastAsia"/>
          <w:bCs/>
          <w:sz w:val="24"/>
          <w:highlight w:val="none"/>
        </w:rPr>
      </w:pPr>
      <w:bookmarkStart w:id="505" w:name="_Toc90742407"/>
      <w:bookmarkStart w:id="506" w:name="_Toc90742338"/>
      <w:bookmarkStart w:id="507" w:name="_Toc123102468"/>
      <w:bookmarkStart w:id="508" w:name="_Toc123112249"/>
      <w:bookmarkStart w:id="509" w:name="_Toc3319"/>
      <w:bookmarkStart w:id="510" w:name="_Toc7288"/>
      <w:bookmarkStart w:id="511" w:name="_Toc1790"/>
      <w:bookmarkStart w:id="512" w:name="_Toc98560366"/>
      <w:bookmarkStart w:id="513" w:name="_Toc25651"/>
      <w:bookmarkStart w:id="514" w:name="_Toc8636"/>
      <w:bookmarkStart w:id="515" w:name="_Toc6110"/>
      <w:bookmarkStart w:id="516" w:name="_Toc23999"/>
      <w:bookmarkStart w:id="517" w:name="_Toc30350"/>
      <w:bookmarkStart w:id="518" w:name="_Toc139991751"/>
      <w:bookmarkStart w:id="519" w:name="_Toc24923"/>
      <w:bookmarkStart w:id="520" w:name="_Toc21983"/>
      <w:bookmarkStart w:id="521" w:name="_Toc123051467"/>
      <w:bookmarkStart w:id="522" w:name="_Toc6202"/>
      <w:bookmarkStart w:id="523" w:name="_Toc141703902"/>
    </w:p>
    <w:p w14:paraId="3853F932">
      <w:pPr>
        <w:spacing w:line="360" w:lineRule="auto"/>
        <w:ind w:firstLine="480" w:firstLineChars="200"/>
        <w:rPr>
          <w:rFonts w:asciiTheme="minorEastAsia" w:hAnsiTheme="minorEastAsia" w:eastAsiaTheme="minorEastAsia"/>
          <w:bCs/>
          <w:sz w:val="24"/>
          <w:highlight w:val="none"/>
        </w:rPr>
      </w:pPr>
    </w:p>
    <w:p w14:paraId="06B5ED51">
      <w:pPr>
        <w:spacing w:line="360" w:lineRule="auto"/>
        <w:ind w:firstLine="480" w:firstLineChars="200"/>
        <w:rPr>
          <w:rFonts w:asciiTheme="minorEastAsia" w:hAnsiTheme="minorEastAsia" w:eastAsiaTheme="minorEastAsia"/>
          <w:bCs/>
          <w:sz w:val="24"/>
          <w:highlight w:val="none"/>
        </w:rPr>
      </w:pPr>
    </w:p>
    <w:bookmarkEnd w:id="500"/>
    <w:p w14:paraId="14EB7420">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25" w:type="default"/>
          <w:pgSz w:w="11906" w:h="16838"/>
          <w:pgMar w:top="1418" w:right="1701" w:bottom="1418" w:left="1701" w:header="851" w:footer="992" w:gutter="0"/>
          <w:pgNumType w:start="1"/>
          <w:cols w:space="425" w:num="1"/>
          <w:formProt w:val="0"/>
          <w:docGrid w:type="lines" w:linePitch="312" w:charSpace="0"/>
        </w:sectPr>
      </w:pPr>
    </w:p>
    <w:p w14:paraId="7409C503">
      <w:pPr>
        <w:pStyle w:val="3"/>
        <w:adjustRightInd w:val="0"/>
        <w:snapToGrid w:val="0"/>
        <w:spacing w:before="312" w:beforeLines="100" w:after="0" w:line="360" w:lineRule="auto"/>
        <w:rPr>
          <w:rFonts w:asciiTheme="minorEastAsia" w:hAnsiTheme="minorEastAsia" w:eastAsiaTheme="minorEastAsia"/>
          <w:sz w:val="21"/>
          <w:highlight w:val="none"/>
        </w:rPr>
      </w:pPr>
      <w:bookmarkStart w:id="524" w:name="_Toc16237246"/>
      <w:bookmarkStart w:id="525" w:name="CLAUSE_94144077724847c5a464b8d90f200a7e"/>
      <w:bookmarkStart w:id="526" w:name="_Hlk161321023"/>
      <w:r>
        <w:rPr>
          <w:rFonts w:hint="eastAsia" w:cs="Arial" w:asciiTheme="minorEastAsia" w:hAnsiTheme="minorEastAsia" w:eastAsiaTheme="minorEastAsia"/>
          <w:sz w:val="21"/>
          <w:szCs w:val="21"/>
          <w:highlight w:val="none"/>
        </w:rPr>
        <w:t xml:space="preserve">第二十一部分 </w:t>
      </w:r>
      <w:bookmarkStart w:id="527" w:name="CTS_94144077724847c5a464b8d90f200a7e"/>
      <w:bookmarkEnd w:id="527"/>
      <w:r>
        <w:rPr>
          <w:rFonts w:hint="eastAsia" w:asciiTheme="minorEastAsia" w:hAnsiTheme="minorEastAsia" w:eastAsiaTheme="minorEastAsia"/>
          <w:sz w:val="21"/>
          <w:highlight w:val="none"/>
        </w:rPr>
        <w:t>争议的处理</w:t>
      </w:r>
      <w:bookmarkEnd w:id="505"/>
      <w:bookmarkEnd w:id="506"/>
      <w:r>
        <w:rPr>
          <w:rFonts w:hint="eastAsia" w:asciiTheme="minorEastAsia" w:hAnsiTheme="minorEastAsia" w:eastAsiaTheme="minorEastAsia"/>
          <w:sz w:val="21"/>
          <w:highlight w:val="none"/>
        </w:rPr>
        <w:t>和适用的法律</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2C5E79B">
      <w:pPr>
        <w:spacing w:line="360" w:lineRule="auto"/>
        <w:ind w:firstLine="480" w:firstLineChars="200"/>
        <w:rPr>
          <w:rFonts w:asciiTheme="minorEastAsia" w:hAnsiTheme="minorEastAsia" w:eastAsiaTheme="minorEastAsia"/>
          <w:bCs/>
          <w:sz w:val="24"/>
          <w:highlight w:val="none"/>
        </w:rPr>
      </w:pPr>
    </w:p>
    <w:p w14:paraId="021D5FFD">
      <w:pPr>
        <w:adjustRightInd w:val="0"/>
        <w:snapToGrid w:val="0"/>
        <w:spacing w:line="360" w:lineRule="auto"/>
        <w:ind w:firstLine="422" w:firstLineChars="200"/>
        <w:rPr>
          <w:rFonts w:asciiTheme="minorEastAsia" w:hAnsiTheme="minorEastAsia" w:eastAsiaTheme="minorEastAsia"/>
          <w:b/>
          <w:bCs/>
          <w:i/>
          <w:iCs/>
          <w:highlight w:val="none"/>
        </w:rPr>
      </w:pPr>
      <w:r>
        <w:rPr>
          <w:rFonts w:hint="eastAsia" w:asciiTheme="minorEastAsia" w:hAnsiTheme="minorEastAsia" w:eastAsiaTheme="minorEastAsia"/>
          <w:b/>
          <w:bCs/>
          <w:i/>
          <w:iCs/>
          <w:highlight w:val="none"/>
        </w:rPr>
        <w:t>各方当事人同意，因《基金合同》而产生的或与《基金合同》有关的一切争议，如经友好协商、调解未能解决的，</w:t>
      </w:r>
      <w:r>
        <w:rPr>
          <w:rFonts w:hint="eastAsia" w:asciiTheme="minorEastAsia" w:hAnsiTheme="minorEastAsia" w:eastAsiaTheme="minorEastAsia"/>
          <w:b/>
          <w:bCs/>
          <w:i/>
          <w:iCs/>
          <w:highlight w:val="none"/>
          <w:lang w:val="en-US" w:eastAsia="zh-CN"/>
        </w:rPr>
        <w:t>任何一方均有权</w:t>
      </w:r>
      <w:r>
        <w:rPr>
          <w:rFonts w:hint="eastAsia" w:asciiTheme="minorEastAsia" w:hAnsiTheme="minorEastAsia" w:eastAsiaTheme="minorEastAsia"/>
          <w:b/>
          <w:bCs/>
          <w:i/>
          <w:iCs/>
          <w:highlight w:val="none"/>
        </w:rPr>
        <w:t>将争议提交中国国际经济贸易仲裁委员会，按照中国国际经济贸易仲裁委员会届时有效的仲裁规则进行仲裁。仲裁地点为北京市。仲裁裁决是终局的，对各方当事人均有约束力。除裁决另有规定的，仲裁费用由败诉方承担。</w:t>
      </w:r>
    </w:p>
    <w:p w14:paraId="3A62E562">
      <w:pPr>
        <w:adjustRightInd w:val="0"/>
        <w:snapToGrid w:val="0"/>
        <w:spacing w:line="360" w:lineRule="auto"/>
        <w:ind w:firstLine="422" w:firstLineChars="200"/>
        <w:rPr>
          <w:rFonts w:asciiTheme="minorEastAsia" w:hAnsiTheme="minorEastAsia" w:eastAsiaTheme="minorEastAsia"/>
          <w:b/>
          <w:bCs/>
          <w:i/>
          <w:iCs/>
          <w:highlight w:val="none"/>
        </w:rPr>
      </w:pPr>
      <w:r>
        <w:rPr>
          <w:rFonts w:hint="eastAsia" w:asciiTheme="minorEastAsia" w:hAnsiTheme="minorEastAsia" w:eastAsiaTheme="minorEastAsia"/>
          <w:b/>
          <w:bCs/>
          <w:i/>
          <w:iCs/>
          <w:highlight w:val="none"/>
        </w:rPr>
        <w:t>争议处理期间，基金管理人、基金托管人应恪守基金管理人和基金托管人的职责，各自继续忠实、勤勉、尽责地履行基金合同和托管协议规定的义务，维护基金份额持有人的合法权益。</w:t>
      </w:r>
    </w:p>
    <w:p w14:paraId="6573FF54">
      <w:pPr>
        <w:adjustRightInd w:val="0"/>
        <w:snapToGrid w:val="0"/>
        <w:spacing w:line="360" w:lineRule="auto"/>
        <w:ind w:firstLine="422" w:firstLineChars="200"/>
        <w:rPr>
          <w:rFonts w:asciiTheme="minorEastAsia" w:hAnsiTheme="minorEastAsia" w:eastAsiaTheme="minorEastAsia"/>
          <w:b/>
          <w:bCs/>
          <w:i/>
          <w:iCs/>
          <w:highlight w:val="none"/>
        </w:rPr>
      </w:pPr>
      <w:r>
        <w:rPr>
          <w:rFonts w:hint="eastAsia" w:asciiTheme="minorEastAsia" w:hAnsiTheme="minorEastAsia" w:eastAsiaTheme="minorEastAsia"/>
          <w:b/>
          <w:bCs/>
          <w:i/>
          <w:iCs/>
          <w:highlight w:val="none"/>
        </w:rPr>
        <w:t>本基金合同受中国法律（为本基金合同之目的，在此不包括香港、澳门特别行政区和台湾地区法律）管辖。</w:t>
      </w:r>
    </w:p>
    <w:p w14:paraId="07F17FCE">
      <w:pPr>
        <w:adjustRightInd w:val="0"/>
        <w:snapToGrid w:val="0"/>
        <w:spacing w:line="360" w:lineRule="auto"/>
        <w:ind w:firstLine="420"/>
        <w:rPr>
          <w:rFonts w:asciiTheme="minorEastAsia" w:hAnsiTheme="minorEastAsia" w:eastAsiaTheme="minorEastAsia"/>
          <w:highlight w:val="none"/>
        </w:rPr>
      </w:pPr>
    </w:p>
    <w:bookmarkEnd w:id="525"/>
    <w:p w14:paraId="4CAABC5A">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26" w:type="default"/>
          <w:pgSz w:w="11906" w:h="16838"/>
          <w:pgMar w:top="1418" w:right="1701" w:bottom="1418" w:left="1701" w:header="851" w:footer="992" w:gutter="0"/>
          <w:pgNumType w:start="1"/>
          <w:cols w:space="425" w:num="1"/>
          <w:formProt w:val="0"/>
          <w:docGrid w:type="lines" w:linePitch="312" w:charSpace="0"/>
        </w:sectPr>
      </w:pPr>
    </w:p>
    <w:bookmarkEnd w:id="526"/>
    <w:p w14:paraId="19CDBB57">
      <w:pPr>
        <w:pStyle w:val="3"/>
        <w:adjustRightInd w:val="0"/>
        <w:snapToGrid w:val="0"/>
        <w:spacing w:before="312" w:beforeLines="100" w:after="0" w:line="360" w:lineRule="auto"/>
        <w:rPr>
          <w:rFonts w:asciiTheme="minorEastAsia" w:hAnsiTheme="minorEastAsia" w:eastAsiaTheme="minorEastAsia"/>
          <w:sz w:val="21"/>
          <w:highlight w:val="none"/>
        </w:rPr>
      </w:pPr>
      <w:bookmarkStart w:id="528" w:name="_Toc16237247"/>
      <w:bookmarkStart w:id="529" w:name="CLAUSE_ba3021fd25cd42a7ace3252ab4467b9e"/>
      <w:bookmarkStart w:id="530" w:name="_Hlk161321043"/>
      <w:r>
        <w:rPr>
          <w:rFonts w:hint="eastAsia" w:cs="Arial" w:asciiTheme="minorEastAsia" w:hAnsiTheme="minorEastAsia" w:eastAsiaTheme="minorEastAsia"/>
          <w:sz w:val="21"/>
          <w:szCs w:val="21"/>
          <w:highlight w:val="none"/>
        </w:rPr>
        <w:t xml:space="preserve">第二十二部分 </w:t>
      </w:r>
      <w:bookmarkStart w:id="531" w:name="CTS_ba3021fd25cd42a7ace3252ab4467b9e"/>
      <w:bookmarkEnd w:id="531"/>
      <w:r>
        <w:rPr>
          <w:rFonts w:hint="eastAsia" w:asciiTheme="minorEastAsia" w:hAnsiTheme="minorEastAsia" w:eastAsiaTheme="minorEastAsia"/>
          <w:sz w:val="21"/>
          <w:highlight w:val="none"/>
        </w:rPr>
        <w:t>基金合同的效力</w:t>
      </w:r>
      <w:bookmarkEnd w:id="528"/>
    </w:p>
    <w:p w14:paraId="70085289">
      <w:pPr>
        <w:adjustRightInd w:val="0"/>
        <w:snapToGrid w:val="0"/>
        <w:spacing w:line="360" w:lineRule="auto"/>
        <w:ind w:firstLine="420" w:firstLineChars="200"/>
        <w:rPr>
          <w:rFonts w:asciiTheme="minorEastAsia" w:hAnsiTheme="minorEastAsia" w:eastAsiaTheme="minorEastAsia"/>
          <w:highlight w:val="none"/>
        </w:rPr>
      </w:pPr>
    </w:p>
    <w:p w14:paraId="1C780E4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》是约定基金合同当事人之间权利义务关系的法律文件。</w:t>
      </w:r>
    </w:p>
    <w:p w14:paraId="0469997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合同》经基金管理人、基金托管人双方加盖公章（或合同专用章）以及双方法定代表人或授权代表签字（或签章）并在募集结束后经基金管理人向中国证监会办理基金备案手续，并经中国证监会书面确认后生效。</w:t>
      </w:r>
    </w:p>
    <w:p w14:paraId="0569525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2、《基金合同》的有效期自其生效之日起至基金财产清算结果报中国证监会备案并公告之日止。</w:t>
      </w:r>
    </w:p>
    <w:p w14:paraId="222EC81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》自生效之日起对包括基金管理人、基金托管人和基金份额持有人在内的《</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》各方当事人具有同等的法律约束力。</w:t>
      </w:r>
    </w:p>
    <w:p w14:paraId="45D3E00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4、《基金合同》正本一式三份，除上报有关监管机构一份外，基金管理人、基金托管人各持有一份，每份具有同等的法律效力。</w:t>
      </w:r>
    </w:p>
    <w:p w14:paraId="1865C2C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》可印制成册，供</w:t>
      </w:r>
      <w:r>
        <w:rPr>
          <w:rFonts w:asciiTheme="minorEastAsia" w:hAnsiTheme="minorEastAsia" w:eastAsiaTheme="minorEastAsia"/>
          <w:highlight w:val="none"/>
        </w:rPr>
        <w:t>投资人</w:t>
      </w:r>
      <w:r>
        <w:rPr>
          <w:rFonts w:hint="eastAsia" w:asciiTheme="minorEastAsia" w:hAnsiTheme="minorEastAsia" w:eastAsiaTheme="minorEastAsia"/>
          <w:highlight w:val="none"/>
        </w:rPr>
        <w:t>在基金管理人、基金托管人、销售机构的办公场所和营业场所查阅。</w:t>
      </w:r>
    </w:p>
    <w:p w14:paraId="1A8F92E9">
      <w:pPr>
        <w:adjustRightInd w:val="0"/>
        <w:snapToGrid w:val="0"/>
        <w:spacing w:line="360" w:lineRule="auto"/>
        <w:rPr>
          <w:rFonts w:cs="Arial" w:asciiTheme="minorEastAsia" w:hAnsiTheme="minorEastAsia" w:eastAsiaTheme="minorEastAsia"/>
          <w:szCs w:val="21"/>
          <w:highlight w:val="none"/>
        </w:rPr>
      </w:pPr>
    </w:p>
    <w:bookmarkEnd w:id="529"/>
    <w:p w14:paraId="6F06C456">
      <w:pPr>
        <w:pStyle w:val="3"/>
        <w:adjustRightInd w:val="0"/>
        <w:snapToGrid w:val="0"/>
        <w:spacing w:before="0" w:after="0" w:line="360" w:lineRule="auto"/>
        <w:rPr>
          <w:rFonts w:cs="Arial" w:asciiTheme="minorEastAsia" w:hAnsiTheme="minorEastAsia" w:eastAsiaTheme="minorEastAsia"/>
          <w:sz w:val="21"/>
          <w:szCs w:val="21"/>
          <w:highlight w:val="none"/>
        </w:rPr>
        <w:sectPr>
          <w:footerReference r:id="rId27" w:type="default"/>
          <w:pgSz w:w="11906" w:h="16838"/>
          <w:pgMar w:top="1418" w:right="1701" w:bottom="1418" w:left="1701" w:header="851" w:footer="992" w:gutter="0"/>
          <w:pgNumType w:start="1"/>
          <w:cols w:space="425" w:num="1"/>
          <w:formProt w:val="0"/>
          <w:docGrid w:type="lines" w:linePitch="312" w:charSpace="0"/>
        </w:sectPr>
      </w:pPr>
    </w:p>
    <w:bookmarkEnd w:id="530"/>
    <w:p w14:paraId="5AACA4E8">
      <w:pPr>
        <w:pStyle w:val="3"/>
        <w:adjustRightInd w:val="0"/>
        <w:snapToGrid w:val="0"/>
        <w:spacing w:before="312" w:beforeLines="100" w:after="0" w:line="360" w:lineRule="auto"/>
        <w:rPr>
          <w:rFonts w:asciiTheme="minorEastAsia" w:hAnsiTheme="minorEastAsia" w:eastAsiaTheme="minorEastAsia"/>
          <w:sz w:val="21"/>
          <w:highlight w:val="none"/>
        </w:rPr>
      </w:pPr>
      <w:bookmarkStart w:id="532" w:name="_Toc16237248"/>
      <w:bookmarkStart w:id="533" w:name="CLAUSE_f81d263af7f84fdfbd744539252f81f0"/>
      <w:bookmarkStart w:id="534" w:name="_Hlk161320943"/>
      <w:r>
        <w:rPr>
          <w:rFonts w:hint="eastAsia" w:cs="Arial" w:asciiTheme="minorEastAsia" w:hAnsiTheme="minorEastAsia" w:eastAsiaTheme="minorEastAsia"/>
          <w:sz w:val="21"/>
          <w:szCs w:val="21"/>
          <w:highlight w:val="none"/>
        </w:rPr>
        <w:t xml:space="preserve">第二十三部分 </w:t>
      </w:r>
      <w:bookmarkStart w:id="535" w:name="CTS_f81d263af7f84fdfbd744539252f81f0"/>
      <w:bookmarkEnd w:id="535"/>
      <w:r>
        <w:rPr>
          <w:rFonts w:hint="eastAsia" w:asciiTheme="minorEastAsia" w:hAnsiTheme="minorEastAsia" w:eastAsiaTheme="minorEastAsia"/>
          <w:sz w:val="21"/>
          <w:highlight w:val="none"/>
        </w:rPr>
        <w:t>其他事项</w:t>
      </w:r>
      <w:bookmarkEnd w:id="532"/>
    </w:p>
    <w:p w14:paraId="370D058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w:t>
      </w:r>
      <w:r>
        <w:rPr>
          <w:rFonts w:asciiTheme="minorEastAsia" w:hAnsiTheme="minorEastAsia" w:eastAsiaTheme="minorEastAsia"/>
          <w:highlight w:val="none"/>
        </w:rPr>
        <w:t>如有未尽事宜，由</w:t>
      </w: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w:t>
      </w:r>
      <w:r>
        <w:rPr>
          <w:rFonts w:asciiTheme="minorEastAsia" w:hAnsiTheme="minorEastAsia" w:eastAsiaTheme="minorEastAsia"/>
          <w:highlight w:val="none"/>
        </w:rPr>
        <w:t>当事人各方按有关法律法规协商解决。</w:t>
      </w:r>
    </w:p>
    <w:p w14:paraId="15C7E777">
      <w:pPr>
        <w:pStyle w:val="3"/>
        <w:adjustRightInd w:val="0"/>
        <w:snapToGrid w:val="0"/>
        <w:spacing w:before="312" w:beforeLines="100" w:after="0" w:line="360" w:lineRule="auto"/>
        <w:rPr>
          <w:rFonts w:cs="Arial" w:asciiTheme="minorEastAsia" w:hAnsiTheme="minorEastAsia" w:eastAsiaTheme="minorEastAsia"/>
          <w:sz w:val="21"/>
          <w:szCs w:val="21"/>
          <w:highlight w:val="none"/>
        </w:rPr>
        <w:sectPr>
          <w:footerReference r:id="rId28" w:type="default"/>
          <w:pgSz w:w="11906" w:h="16838"/>
          <w:pgMar w:top="1440" w:right="1800" w:bottom="1440" w:left="1800" w:header="851" w:footer="992" w:gutter="0"/>
          <w:pgNumType w:start="1"/>
          <w:cols w:space="720" w:num="1"/>
          <w:docGrid w:type="lines" w:linePitch="312" w:charSpace="0"/>
        </w:sectPr>
      </w:pPr>
    </w:p>
    <w:p w14:paraId="1FB85ECD">
      <w:pPr>
        <w:pStyle w:val="3"/>
        <w:adjustRightInd w:val="0"/>
        <w:snapToGrid w:val="0"/>
        <w:spacing w:before="312" w:beforeLines="100" w:after="0" w:line="360" w:lineRule="auto"/>
        <w:rPr>
          <w:rFonts w:asciiTheme="minorEastAsia" w:hAnsiTheme="minorEastAsia" w:eastAsiaTheme="minorEastAsia"/>
          <w:sz w:val="21"/>
          <w:highlight w:val="none"/>
        </w:rPr>
      </w:pPr>
      <w:r>
        <w:rPr>
          <w:rFonts w:hint="eastAsia" w:cs="Arial" w:asciiTheme="minorEastAsia" w:hAnsiTheme="minorEastAsia" w:eastAsiaTheme="minorEastAsia"/>
          <w:sz w:val="21"/>
          <w:szCs w:val="21"/>
          <w:highlight w:val="none"/>
        </w:rPr>
        <w:t>第二十四部分 基金合同摘要</w:t>
      </w:r>
    </w:p>
    <w:p w14:paraId="02A42EA6">
      <w:pPr>
        <w:adjustRightInd w:val="0"/>
        <w:snapToGrid w:val="0"/>
        <w:spacing w:line="360" w:lineRule="auto"/>
        <w:ind w:firstLine="420" w:firstLineChars="200"/>
        <w:rPr>
          <w:rFonts w:ascii="宋体" w:hAnsi="宋体"/>
          <w:highlight w:val="none"/>
        </w:rPr>
      </w:pPr>
      <w:bookmarkStart w:id="536" w:name="_Hlk103846643"/>
      <w:r>
        <w:rPr>
          <w:rFonts w:hint="eastAsia" w:ascii="宋体" w:hAnsi="宋体"/>
          <w:highlight w:val="none"/>
        </w:rPr>
        <w:t>一、基金管理人、基金托管人及基金份额持有人的权利与义务</w:t>
      </w:r>
    </w:p>
    <w:p w14:paraId="6427CA80">
      <w:pPr>
        <w:adjustRightInd w:val="0"/>
        <w:snapToGrid w:val="0"/>
        <w:spacing w:line="360" w:lineRule="auto"/>
        <w:ind w:firstLine="420" w:firstLineChars="200"/>
        <w:rPr>
          <w:rFonts w:ascii="宋体" w:hAnsi="宋体"/>
          <w:highlight w:val="none"/>
        </w:rPr>
      </w:pPr>
      <w:r>
        <w:rPr>
          <w:rFonts w:hint="eastAsia" w:ascii="宋体" w:hAnsi="宋体"/>
          <w:highlight w:val="none"/>
        </w:rPr>
        <w:t>（一）基金管理人的权利与义务</w:t>
      </w:r>
    </w:p>
    <w:p w14:paraId="28CCD6B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1、根据《基金法》、《运作办法》及其他有关规定，基金管理人的权利包括但不限于：</w:t>
      </w:r>
    </w:p>
    <w:p w14:paraId="3B6ED51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（1）依法募集资金；</w:t>
      </w:r>
    </w:p>
    <w:p w14:paraId="2DAB1D3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（2）自《基金合同》生效之日起，根据法律法规和《基金合同》独立运用并管理基金财产；</w:t>
      </w:r>
    </w:p>
    <w:p w14:paraId="2D610CC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（3）依照《基金合同》收取基金管理费以及法律法规规定或中国证监会批准的其他费用；</w:t>
      </w:r>
    </w:p>
    <w:p w14:paraId="05E6718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（4）销售基金份额；</w:t>
      </w:r>
    </w:p>
    <w:p w14:paraId="524035A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（5）按照规定召集基金份额持有人大会；</w:t>
      </w:r>
    </w:p>
    <w:p w14:paraId="7BC7DD4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（6）依据《基金合同》及有关法律规定监督基金托管人，如认为基金托管人违反了《基金合同》及国家有关法律规定，应呈报中国证监会和其他监管部门，并采取必要措施保护基金投资者的利益；</w:t>
      </w:r>
    </w:p>
    <w:p w14:paraId="48A9D63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（7）在基金托管人更换时，提名新的基金托管人；</w:t>
      </w:r>
    </w:p>
    <w:p w14:paraId="2B3224F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 xml:space="preserve">（8）选择、更换基金销售机构，对基金销售机构的相关行为进行监督和处理； </w:t>
      </w:r>
    </w:p>
    <w:p w14:paraId="3CEAC52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 xml:space="preserve">（9）担任或委托其他符合条件的机构担任基金登记机构办理基金登记业务并获得《基金合同》规定的费用； </w:t>
      </w:r>
    </w:p>
    <w:p w14:paraId="3AB3C0C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（10）依据《基金合同》及有关法律规定决定基金收益的分配方案；</w:t>
      </w:r>
      <w:r>
        <w:rPr>
          <w:rFonts w:hint="eastAsia" w:ascii="宋体" w:hAnsi="宋体"/>
          <w:highlight w:val="none"/>
        </w:rPr>
        <w:tab/>
      </w:r>
    </w:p>
    <w:p w14:paraId="754ECDE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 xml:space="preserve">（11）在《基金合同》约定的范围内，拒绝或暂停受理申购、赎回或转换申请； </w:t>
      </w:r>
    </w:p>
    <w:p w14:paraId="6A9DF2B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（12）依照法律法规为基金的利益对被投资公司行使股东权利，为基金的利益行使因基金财产投资于证券所产生的权利；</w:t>
      </w:r>
    </w:p>
    <w:p w14:paraId="564FC44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（13）在法律法规允许的前提下，为基金的利益依法为基金进行融资或参与转融通证券出借业务；</w:t>
      </w:r>
    </w:p>
    <w:p w14:paraId="1D5A022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（14）以基金管理人的名义，代表基金份额持有人的利益行使诉讼权利或者实施其他法律行为；</w:t>
      </w:r>
      <w:r>
        <w:rPr>
          <w:rFonts w:hint="eastAsia" w:ascii="宋体" w:hAnsi="宋体"/>
          <w:highlight w:val="none"/>
        </w:rPr>
        <w:tab/>
      </w:r>
    </w:p>
    <w:p w14:paraId="6BE9414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（15）选择、更换律师事务所、会计师事务所、证券、期货经纪商或其他为基金提供服务的外部机构；</w:t>
      </w:r>
      <w:r>
        <w:rPr>
          <w:rFonts w:hint="eastAsia" w:ascii="宋体" w:hAnsi="宋体"/>
          <w:highlight w:val="none"/>
        </w:rPr>
        <w:tab/>
      </w:r>
    </w:p>
    <w:p w14:paraId="08D39D6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（16）在符合有关法律、法规的前提下，制订和调整有关基金认购、申购、赎回、转换、定期定额投资和非交易过户等业务规则；</w:t>
      </w:r>
    </w:p>
    <w:p w14:paraId="7EE708D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（17）代表基金份额持有人的利益行使因基金财产投资于目标ETF所产生的权利，基金合同另有约定的除外；</w:t>
      </w:r>
    </w:p>
    <w:p w14:paraId="1CBEC21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（18）法律法规及中国证监会规定的和《基金合同》约定的其他权利。</w:t>
      </w:r>
    </w:p>
    <w:p w14:paraId="67F5009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2、根据《基金法》、《运作办法》及其他有关规定，基金管理人的义务包括但不限于：</w:t>
      </w:r>
    </w:p>
    <w:p w14:paraId="18B7217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（1）依法募集资金，办理或者委托经中国证监会认定的其他机构代为办理基金份额的发售、申购、赎回和登记事宜；</w:t>
      </w:r>
    </w:p>
    <w:p w14:paraId="627D449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（2）办理基金备案手续；</w:t>
      </w:r>
    </w:p>
    <w:p w14:paraId="628D389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（3）自《基金合同》生效之日起，以诚实信用、谨慎勤勉的原则管理和运用基金财产；</w:t>
      </w:r>
    </w:p>
    <w:p w14:paraId="6081525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（4）配备足够的具有专业资格的人员进行基金投资分析、决策，以专业化的经营方式管理和运作基金财产；</w:t>
      </w:r>
    </w:p>
    <w:p w14:paraId="2DD6FFB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（5）建立健全内部风险控制、监察与稽核、财务管理及人事管理等制度，保证所管理的基金财产和基金管理人的财产相互独立，对所管理的不同基金分别管理，分别记账，进行证券投资；</w:t>
      </w:r>
    </w:p>
    <w:p w14:paraId="4405EAF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（6）除依据《基金法》、《基金合同》及其他有关规定外，不得利用基金财产为自己及任何第三人谋取利益，不得委托第三人运作基金财产；</w:t>
      </w:r>
    </w:p>
    <w:p w14:paraId="72CB884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（7）依法接受基金托管人的监督；</w:t>
      </w:r>
    </w:p>
    <w:p w14:paraId="5A77566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（8）采取适当合理的措施使计算基金份额认购、申购、赎回和注销价格的方法符合《基金合同》等法律文件的规定，按有关规定计算并公告基金净值信息，确定基金份额申购、赎回的价格；</w:t>
      </w:r>
    </w:p>
    <w:p w14:paraId="4AEC514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（9）进行基金会计核算并编制基金财务会计报告；</w:t>
      </w:r>
    </w:p>
    <w:p w14:paraId="42E2E5C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（10）编制季度报告、中期报告和年度报告；</w:t>
      </w:r>
    </w:p>
    <w:p w14:paraId="761DE67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（11）严格按照《基金法》、《基金合同》及其他有关规定，履行信息披露及报告义务；</w:t>
      </w:r>
    </w:p>
    <w:p w14:paraId="5677887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12）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14:paraId="79D8977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（13）按《基金合同》的约定确定基金收益分配方案，及时向基金份额持有人分配基金收益；</w:t>
      </w:r>
    </w:p>
    <w:p w14:paraId="5DC4D96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（14）按规定受理申购与赎回申请，及时、足额支付赎回款项；</w:t>
      </w:r>
    </w:p>
    <w:p w14:paraId="23967B3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（15）依据《基金法》、《基金合同》及其他有关规定召集基金份额持有人大会或配合基金托管人、基金份额持有人依法召集基金份额持有人大会；</w:t>
      </w:r>
    </w:p>
    <w:p w14:paraId="077CCED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（16）按规定保存基金财产管理业务活动的会计账册、报表、记录和其他相关资料，保存期限不低于法律法规规定的最低期限；</w:t>
      </w:r>
    </w:p>
    <w:p w14:paraId="7A0E526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07AE5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（18）组织并参加基金财产清算小组，参与基金财产的保管、清理、估价、变现和分配；</w:t>
      </w:r>
    </w:p>
    <w:p w14:paraId="7490DEE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（19）面临解散、依法被撤销或者被依法宣告破产时，及时报告中国证监会并通知基金托管人；</w:t>
      </w:r>
    </w:p>
    <w:p w14:paraId="1C11136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（20）因违反《基金合同》导致基金财产的损失或损害基金份额持有人合法权益时，应当承担赔偿责任，其赔偿责任不因其退任而免除；</w:t>
      </w:r>
    </w:p>
    <w:p w14:paraId="088535B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（21）监督基金托管人按法律法规和《基金合同》规定履行自己的义务，基金托管人违反《基金合同》造成基金财产损失时，基金管理人应为基金份额持有人利益向基金托管人追偿；</w:t>
      </w:r>
    </w:p>
    <w:p w14:paraId="6A65265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（22）当基金管理人将其义务委托第三方处理时，应当对第三方处理有关基金事务的行为承担责任；</w:t>
      </w:r>
    </w:p>
    <w:p w14:paraId="6C01304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（23）以基金管理人名义，代表基金份额持有人利益行使诉讼权利或实施其他法律行为；</w:t>
      </w:r>
    </w:p>
    <w:p w14:paraId="33312B5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（24）基金在募集期满未能达到基金的备案条件，《基金合同》不能生效，基金管理人承担全部募集费用，将已募集资金并加计银行同期活期存款利息在基金募集期结束后30日内退还基金认购人；</w:t>
      </w:r>
    </w:p>
    <w:p w14:paraId="42242AC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（25）执行生效的基金份额持有人大会的决议；</w:t>
      </w:r>
    </w:p>
    <w:p w14:paraId="2F7C2E7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（26）建立并保存基金份额持有人名册；</w:t>
      </w:r>
    </w:p>
    <w:p w14:paraId="59AB2A1C">
      <w:pPr>
        <w:adjustRightInd w:val="0"/>
        <w:snapToGrid w:val="0"/>
        <w:spacing w:line="360" w:lineRule="auto"/>
        <w:ind w:firstLine="420" w:firstLineChars="200"/>
        <w:rPr>
          <w:rFonts w:ascii="宋体" w:hAnsi="宋体"/>
          <w:highlight w:val="none"/>
        </w:rPr>
      </w:pPr>
      <w:r>
        <w:rPr>
          <w:rFonts w:hint="eastAsia" w:ascii="宋体" w:hAnsi="宋体"/>
          <w:highlight w:val="none"/>
        </w:rPr>
        <w:t>（27）法律法规及中国证监会规定的和《基金合同》约定的其他义务。</w:t>
      </w:r>
    </w:p>
    <w:p w14:paraId="4349584F">
      <w:pPr>
        <w:adjustRightInd w:val="0"/>
        <w:snapToGrid w:val="0"/>
        <w:spacing w:line="360" w:lineRule="auto"/>
        <w:ind w:firstLine="420" w:firstLineChars="200"/>
        <w:rPr>
          <w:rFonts w:ascii="宋体" w:hAnsi="宋体"/>
          <w:highlight w:val="none"/>
        </w:rPr>
      </w:pPr>
      <w:r>
        <w:rPr>
          <w:rFonts w:hint="eastAsia" w:ascii="宋体" w:hAnsi="宋体"/>
          <w:highlight w:val="none"/>
        </w:rPr>
        <w:t>（二）基金托管人的权利与义务</w:t>
      </w:r>
    </w:p>
    <w:p w14:paraId="1C720CD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1、根据《基金法》、《运作办法》及其他有关规定，基金托管人的权利包括但不限于：</w:t>
      </w:r>
    </w:p>
    <w:p w14:paraId="1C4C2CF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（1）自《基金合同》生效之日起，依法律法规和《基金合同》、《托管协议》的规定安全保管基金财产；</w:t>
      </w:r>
    </w:p>
    <w:p w14:paraId="1276A56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（2）依《基金合同》约定获得基金托管费以及法律法规规定或监管部门批准的其他费用；</w:t>
      </w:r>
    </w:p>
    <w:p w14:paraId="5B695C7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监督基金管理人对本基金的投资运作，如发现基金管理人有违反《基金合同》、《托管协议》及国家法律法规行为，对基金财产、其他当事人的利益造成重大损失的情形，应呈报中国证监会，并采取必要措施保护基金投资者的利益；</w:t>
      </w:r>
    </w:p>
    <w:p w14:paraId="58A626B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（4）根据相关市场规则，为基金开设资金账户、证券账户等投资所需账户，为基金办理证券/期货交易资金清算；</w:t>
      </w:r>
    </w:p>
    <w:p w14:paraId="2D6E4FF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（5）提议召开或召集基金份额持有人大会；</w:t>
      </w:r>
    </w:p>
    <w:p w14:paraId="02FF572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（6）在基金管理人更换时，提名新的基金管理人；</w:t>
      </w:r>
    </w:p>
    <w:p w14:paraId="0568CC8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（7）法律法规及中国证监会规定的和《基金合同》约定的其他权利。</w:t>
      </w:r>
    </w:p>
    <w:p w14:paraId="7E17766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2、根据《基金法》、《运作办法》及其他有关规定，基金托管人的义务包括但不限于：</w:t>
      </w:r>
    </w:p>
    <w:p w14:paraId="6EBD9F5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（1）以诚实信用、勤勉尽责的原则持有并安全保管基金财产；</w:t>
      </w:r>
    </w:p>
    <w:p w14:paraId="6A1CD11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（2）设立专门的基金托管部门，具有符合要求的营业场所，配备足够的、合格的熟悉基金托管业务的专职人员，负责基金财产托管事宜；</w:t>
      </w:r>
    </w:p>
    <w:p w14:paraId="0CD4001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2939B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（4）除依据《基金法》、《基金合同》及其他有关规定外，不得利用基金财产为自己及任何第三人谋取利益，不得委托第三人托管基金财产；</w:t>
      </w:r>
    </w:p>
    <w:p w14:paraId="079BFC6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（5）保管由基金管理人代表基金签订的与基金有关的重大合同及有关凭证；</w:t>
      </w:r>
    </w:p>
    <w:p w14:paraId="62A451A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（6）按规定开设基金财产的资金账户和证券账户等投资所需账户，按照《基金合同》的约定，根据基金管理人的投资指令，及时办理清算、交割事宜；</w:t>
      </w:r>
    </w:p>
    <w:p w14:paraId="4674B27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保守基金商业秘密，除《基金法》、《基金合同》、《托管协议》及其他有关规定另有规定外，在基金信息公开披露前予以保密，不得向他人泄露，但因监管机构、司法机关等有权机关要求，或因审计、法律等外部专业顾问提供服务需要提供的情况除外；</w:t>
      </w:r>
    </w:p>
    <w:p w14:paraId="015035F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（8）复核、审查基金管理人计算的基金资产净值、各类基金份额净值、基金份额申购、赎回价格；</w:t>
      </w:r>
    </w:p>
    <w:p w14:paraId="36AA4DD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（9）办理与基金托管业务活动有关的信息披露事项；</w:t>
      </w:r>
    </w:p>
    <w:p w14:paraId="6D94978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7AE6B4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（11）保存基金托管业务活动的记录、账册、报表和其他相关资料，保存期限不低于法律法规规定的最低期限；</w:t>
      </w:r>
    </w:p>
    <w:p w14:paraId="2614492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（12）从基金管理人或其委托的登记机构处接收并保存基金份额持有人名册；</w:t>
      </w:r>
    </w:p>
    <w:p w14:paraId="598EF47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（13）按规定制作相关账册并与基金管理人核对；</w:t>
      </w:r>
    </w:p>
    <w:p w14:paraId="74742F9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（14）依据基金管理人的指令或有关规定向基金份额持有人支付基金收益和赎回款项；</w:t>
      </w:r>
    </w:p>
    <w:p w14:paraId="21FE4ED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（15）依据《基金法》、《基金合同》及其他有关规定，召集基金份额持有人大会或配合基金管理人、基金份额持有人依法召集基金份额持有人大会；</w:t>
      </w:r>
    </w:p>
    <w:p w14:paraId="5BD81DC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（16）按照法律法规和《基金合同》、《托管协议》的规定监督基金管理人的投资运作；</w:t>
      </w:r>
    </w:p>
    <w:p w14:paraId="1B446A5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（17）参加基金财产清算小组，参与基金财产的保管、清理、估价、变现和分配；</w:t>
      </w:r>
    </w:p>
    <w:p w14:paraId="2AA425A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（18）面临解散、依法被撤销或者被依法宣告破产时，及时报告中国证监会和银行业监督管理机构，并通知基金管理人；</w:t>
      </w:r>
    </w:p>
    <w:p w14:paraId="68E6CD1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（19）因违反《基金合同》导致基金财产损失时，应承担赔偿责任，其赔偿责任不因其退任而免除；</w:t>
      </w:r>
    </w:p>
    <w:p w14:paraId="6D9D7CE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（20）按规定监督基金管理人按法律法规和《基金合同》规定履行自己的义务，基金管理人因违反《基金合同》造成基金财产损失时，应为基金份额持有人利益向基金管理人追偿；</w:t>
      </w:r>
    </w:p>
    <w:p w14:paraId="48690CA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（21）执行生效的基金份额持有人大会的决议；</w:t>
      </w:r>
    </w:p>
    <w:p w14:paraId="0176F805">
      <w:pPr>
        <w:adjustRightInd w:val="0"/>
        <w:snapToGrid w:val="0"/>
        <w:spacing w:line="360" w:lineRule="auto"/>
        <w:ind w:firstLine="420" w:firstLineChars="200"/>
        <w:rPr>
          <w:rFonts w:ascii="宋体" w:hAnsi="宋体"/>
          <w:highlight w:val="none"/>
        </w:rPr>
      </w:pPr>
      <w:r>
        <w:rPr>
          <w:rFonts w:hint="eastAsia" w:ascii="宋体" w:hAnsi="宋体"/>
          <w:highlight w:val="none"/>
        </w:rPr>
        <w:t>（22）法律法规及中国证监会规定的和《基金合同》约定的其他义务。</w:t>
      </w:r>
    </w:p>
    <w:p w14:paraId="4DA20D41">
      <w:pPr>
        <w:adjustRightInd w:val="0"/>
        <w:snapToGrid w:val="0"/>
        <w:spacing w:line="360" w:lineRule="auto"/>
        <w:ind w:firstLine="420" w:firstLineChars="200"/>
        <w:rPr>
          <w:rFonts w:ascii="宋体" w:hAnsi="宋体"/>
          <w:highlight w:val="none"/>
        </w:rPr>
      </w:pPr>
      <w:r>
        <w:rPr>
          <w:rFonts w:hint="eastAsia" w:ascii="宋体" w:hAnsi="宋体"/>
          <w:highlight w:val="none"/>
        </w:rPr>
        <w:t>（三）基金份额持有人</w:t>
      </w:r>
    </w:p>
    <w:p w14:paraId="286FAD2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投资者持有本基金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14:paraId="28F2130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除法律法规另有规定或本基金合同另有约定外，同一类别每份基金份额具有同等的合法权益。</w:t>
      </w:r>
    </w:p>
    <w:p w14:paraId="4F3C35C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1、根据《基金法》、《运作办法》及其他有关规定，基金份额持有人的权利包括但不限于：</w:t>
      </w:r>
    </w:p>
    <w:p w14:paraId="2B31105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（1）分享基金财产收益；</w:t>
      </w:r>
    </w:p>
    <w:p w14:paraId="28F0380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（2）参与分配清算后的剩余基金财产；</w:t>
      </w:r>
    </w:p>
    <w:p w14:paraId="384EAF0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（3）依法转让或者申请赎回其持有的基金份额；</w:t>
      </w:r>
    </w:p>
    <w:p w14:paraId="5E60683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（4）按照规定要求召开基金份额持有人大会或者召集基金份额持有人大会；</w:t>
      </w:r>
    </w:p>
    <w:p w14:paraId="730E531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（5）出席或者委派代表出席本基金或目标ETF的基金份额持有人大会，对本基金或目标ETF的基金份额持有人大会审议事项行使表决权；</w:t>
      </w:r>
    </w:p>
    <w:p w14:paraId="51AF5D5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（6）查阅或者复制公开披露的基金信息资料；</w:t>
      </w:r>
    </w:p>
    <w:p w14:paraId="17CDC0B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（7）监督基金管理人的投资运作；</w:t>
      </w:r>
    </w:p>
    <w:p w14:paraId="4AA4D07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（8）对基金管理人、基金托管人、基金服务机构损害其合法权益的行为依法提起诉讼或仲裁；</w:t>
      </w:r>
    </w:p>
    <w:p w14:paraId="60CBB67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（9）法律法规及中国证监会规定的和《基金合同》约定的其他权利。</w:t>
      </w:r>
    </w:p>
    <w:p w14:paraId="2939985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2、根据《基金法》、《运作办法》及其他有关规定，基金份额持有人的义务包括但不限于：</w:t>
      </w:r>
    </w:p>
    <w:p w14:paraId="3351208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（1）认真阅读并遵守《基金合同》、招募说明书及基金产品资料概要等信息披露文件；</w:t>
      </w:r>
    </w:p>
    <w:p w14:paraId="4EC07BF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（2）了解所投资基金产品，了解自身风险承受能力，自主判断基金的投资价值，自主做出投资决策，自行承担投资风险；</w:t>
      </w:r>
    </w:p>
    <w:p w14:paraId="0BAC923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（3）关注基金信息披露，及时行使权利和履行义务；</w:t>
      </w:r>
    </w:p>
    <w:p w14:paraId="3E4D36A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（4）交纳基金认购、申购款项及法律法规和《基金合同》所规定的费用；</w:t>
      </w:r>
    </w:p>
    <w:p w14:paraId="5AB50E3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（5）在其持有的基金份额范围内，承担基金亏损或者《基金合同》终止的有限责任；</w:t>
      </w:r>
    </w:p>
    <w:p w14:paraId="17CD42E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（6）不从事任何有损基金及其他《基金合同》当事人合法权益的活动；</w:t>
      </w:r>
    </w:p>
    <w:p w14:paraId="29669A1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（7）执行生效的基金份额持有人大会的决议；</w:t>
      </w:r>
    </w:p>
    <w:p w14:paraId="612DD9C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（8）返还在基金交易过程中因任何原因获得的不当得利；</w:t>
      </w:r>
    </w:p>
    <w:p w14:paraId="31F86FB7">
      <w:pPr>
        <w:adjustRightInd w:val="0"/>
        <w:snapToGrid w:val="0"/>
        <w:spacing w:line="360" w:lineRule="auto"/>
        <w:ind w:firstLine="420" w:firstLineChars="200"/>
        <w:rPr>
          <w:rFonts w:ascii="宋体" w:hAnsi="宋体"/>
          <w:highlight w:val="none"/>
        </w:rPr>
      </w:pPr>
      <w:r>
        <w:rPr>
          <w:rFonts w:hint="eastAsia" w:ascii="宋体" w:hAnsi="宋体"/>
          <w:highlight w:val="none"/>
        </w:rPr>
        <w:t>（9）法律法规及中国证监会规定的和《基金合同》约定的其他义务。</w:t>
      </w:r>
    </w:p>
    <w:p w14:paraId="0E06C581">
      <w:pPr>
        <w:adjustRightInd w:val="0"/>
        <w:snapToGrid w:val="0"/>
        <w:spacing w:line="360" w:lineRule="auto"/>
        <w:ind w:firstLine="420" w:firstLineChars="200"/>
        <w:rPr>
          <w:rFonts w:ascii="宋体" w:hAnsi="宋体"/>
          <w:highlight w:val="none"/>
        </w:rPr>
      </w:pPr>
      <w:r>
        <w:rPr>
          <w:rFonts w:hint="eastAsia" w:ascii="宋体" w:hAnsi="宋体"/>
          <w:highlight w:val="none"/>
        </w:rPr>
        <w:t>二、基金份额持有人大会召集、议事及表决的程序和规则</w:t>
      </w:r>
    </w:p>
    <w:p w14:paraId="6A7093D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w:t>
      </w:r>
    </w:p>
    <w:p w14:paraId="02EB3A03">
      <w:pPr>
        <w:adjustRightInd w:val="0"/>
        <w:snapToGrid w:val="0"/>
        <w:spacing w:line="360" w:lineRule="auto"/>
        <w:ind w:firstLine="420" w:firstLineChars="200"/>
        <w:rPr>
          <w:rFonts w:ascii="宋体" w:hAnsi="宋体"/>
          <w:highlight w:val="none"/>
        </w:rPr>
      </w:pPr>
      <w:r>
        <w:rPr>
          <w:rFonts w:hint="eastAsia" w:ascii="宋体" w:hAnsi="宋体"/>
          <w:highlight w:val="none"/>
        </w:rPr>
        <w:t>本基金份额持有人大会不设日常机构。</w:t>
      </w:r>
    </w:p>
    <w:p w14:paraId="33B499DC">
      <w:pPr>
        <w:adjustRightInd w:val="0"/>
        <w:snapToGrid w:val="0"/>
        <w:spacing w:line="360" w:lineRule="auto"/>
        <w:ind w:firstLine="420" w:firstLineChars="200"/>
        <w:rPr>
          <w:rFonts w:ascii="宋体" w:hAnsi="宋体"/>
          <w:highlight w:val="none"/>
        </w:rPr>
      </w:pPr>
      <w:r>
        <w:rPr>
          <w:rFonts w:hint="eastAsia" w:ascii="宋体" w:hAnsi="宋体"/>
          <w:highlight w:val="none"/>
        </w:rPr>
        <w:t>（一）召开事由</w:t>
      </w:r>
    </w:p>
    <w:p w14:paraId="4F82BE2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1、除法律法规、中国证监会另有规定或基金合同另有约定外，当出现或需要决定下列事由之一的，应当召开基金份额持有人大会：</w:t>
      </w:r>
    </w:p>
    <w:p w14:paraId="50B3000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（1）终止《基金合同》；</w:t>
      </w:r>
    </w:p>
    <w:p w14:paraId="7EA6611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（2）更换基金管理人；</w:t>
      </w:r>
    </w:p>
    <w:p w14:paraId="11255E4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（3）更换基金托管人；</w:t>
      </w:r>
    </w:p>
    <w:p w14:paraId="39CE073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（4）转换基金运作方式；</w:t>
      </w:r>
    </w:p>
    <w:p w14:paraId="09358F2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（5）调整基金管理人、基金托管人的报酬标准或提高销售服务费率；</w:t>
      </w:r>
    </w:p>
    <w:p w14:paraId="1958B75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（6）变更基金类别；</w:t>
      </w:r>
    </w:p>
    <w:p w14:paraId="358CAE8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（7）本基金与其他基金的合并；</w:t>
      </w:r>
    </w:p>
    <w:p w14:paraId="1DE9B41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（8）变更基金投资目标、范围或策略；</w:t>
      </w:r>
    </w:p>
    <w:p w14:paraId="41B3AF1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（9）变更基金份额持有人大会程序；</w:t>
      </w:r>
    </w:p>
    <w:p w14:paraId="3BE2347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（10）基金管理人或基金托管人要求召开基金份额持有人大会；</w:t>
      </w:r>
    </w:p>
    <w:p w14:paraId="521FA01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（11）单独或合计持有本基金总份额10%以上（含10%）基金份额的基金份额持有人（以基金管理人收到提议当日的基金份额计算，下同）就同一事项书面要求召开基金份额持有人大会；</w:t>
      </w:r>
    </w:p>
    <w:p w14:paraId="7B3DEFB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（12）对基金合同当事人权利和义务产生重大影响的其他事项；</w:t>
      </w:r>
    </w:p>
    <w:p w14:paraId="7DA8C08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（13）基金管理人代表本基金的基金份额持有人提议召开或召集目标ETF基金份额持有人大会；</w:t>
      </w:r>
    </w:p>
    <w:p w14:paraId="4FC3974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（14）法律法规、《基金合同》或中国证监会规定的其他应当召开基金份额持有人大会的事项。</w:t>
      </w:r>
    </w:p>
    <w:p w14:paraId="27EA772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2、在法律法规规定和《基金合同》约定的范围内且对基金份额持有人利益无实质性不利影响的前提下，以下情况可由基金管理人和基金托管人协商后修改，不需召开基金份额持有人大会：</w:t>
      </w:r>
    </w:p>
    <w:p w14:paraId="45482A5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（1）调低销售服务费；</w:t>
      </w:r>
    </w:p>
    <w:p w14:paraId="26D7843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（2）法律法规要求增加的基金费用的收取；</w:t>
      </w:r>
    </w:p>
    <w:p w14:paraId="24768CC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（3）调整本基金的申购费率、调低赎回费率或变更收费方式，调整基金份额类别设置、对基金份额分类办法及规则进行调整；</w:t>
      </w:r>
    </w:p>
    <w:p w14:paraId="2F81AFE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（4）因相应的法律法规发生变动而应当对《基金合同》进行修改；</w:t>
      </w:r>
    </w:p>
    <w:p w14:paraId="0B49E99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（5）对《基金合同》的修改对基金份额持有人利益无实质性不利影响或修改不涉及《基金合同》当事人权利义务关系发生重大变化；</w:t>
      </w:r>
    </w:p>
    <w:p w14:paraId="5B707D0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（6）在法律法规和中国证监会允许范围内，基金管理人、登记机构、基金销售机构调整有关认购、申购、赎回、转换、基金交易、非交易过户、转托管等业务规则；</w:t>
      </w:r>
    </w:p>
    <w:p w14:paraId="31A01B9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（7）履行相关程序后，基金推出新业务或服务；</w:t>
      </w:r>
    </w:p>
    <w:p w14:paraId="15F5F3F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（8）由于目标ETF交易方式重大变更致使本基金的投资策略难以实现、目标ETF终止上市或目标ETF基金合同终止而变更为直接投资该标的指数的指数基金；</w:t>
      </w:r>
    </w:p>
    <w:p w14:paraId="6CA7DA9A">
      <w:pPr>
        <w:adjustRightInd w:val="0"/>
        <w:snapToGrid w:val="0"/>
        <w:spacing w:line="360" w:lineRule="auto"/>
        <w:ind w:firstLine="420" w:firstLineChars="200"/>
        <w:rPr>
          <w:rFonts w:ascii="宋体" w:hAnsi="宋体"/>
          <w:highlight w:val="none"/>
        </w:rPr>
      </w:pPr>
      <w:r>
        <w:rPr>
          <w:rFonts w:hint="eastAsia" w:ascii="宋体" w:hAnsi="宋体"/>
          <w:highlight w:val="none"/>
        </w:rPr>
        <w:t>（9）按照法律法规和《基金合同》规定不需召开基金份额持有人大会的其他情形。</w:t>
      </w:r>
    </w:p>
    <w:p w14:paraId="67A7BD64">
      <w:pPr>
        <w:adjustRightInd w:val="0"/>
        <w:snapToGrid w:val="0"/>
        <w:spacing w:line="360" w:lineRule="auto"/>
        <w:ind w:firstLine="420" w:firstLineChars="200"/>
        <w:rPr>
          <w:rFonts w:ascii="宋体" w:hAnsi="宋体"/>
          <w:highlight w:val="none"/>
        </w:rPr>
      </w:pPr>
      <w:r>
        <w:rPr>
          <w:rFonts w:hint="eastAsia" w:ascii="宋体" w:hAnsi="宋体"/>
          <w:highlight w:val="none"/>
        </w:rPr>
        <w:t>（二）会议召集人及召集方式</w:t>
      </w:r>
    </w:p>
    <w:p w14:paraId="69EA4E8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1、除法律法规规定或《基金合同》另有约定外，基金份额持有人大会由基金管理人召集。</w:t>
      </w:r>
    </w:p>
    <w:p w14:paraId="5B15B95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2、基金管理人未按规定召集或不能召集时，由基金托管人召集。</w:t>
      </w:r>
    </w:p>
    <w:p w14:paraId="38F0457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F1667C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79E84E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1684490">
      <w:pPr>
        <w:adjustRightInd w:val="0"/>
        <w:snapToGrid w:val="0"/>
        <w:spacing w:line="360" w:lineRule="auto"/>
        <w:ind w:firstLine="420" w:firstLineChars="200"/>
        <w:rPr>
          <w:rFonts w:ascii="宋体" w:hAnsi="宋体"/>
          <w:highlight w:val="none"/>
        </w:rPr>
      </w:pPr>
      <w:r>
        <w:rPr>
          <w:rFonts w:hint="eastAsia" w:ascii="宋体" w:hAnsi="宋体"/>
          <w:highlight w:val="none"/>
        </w:rPr>
        <w:t>6、基金份额持有人会议的召集人负责选择确定开会时间、地点、方式和权益登记日。</w:t>
      </w:r>
    </w:p>
    <w:p w14:paraId="5ED44A05">
      <w:pPr>
        <w:adjustRightInd w:val="0"/>
        <w:snapToGrid w:val="0"/>
        <w:spacing w:line="360" w:lineRule="auto"/>
        <w:ind w:firstLine="420" w:firstLineChars="200"/>
        <w:rPr>
          <w:rFonts w:ascii="宋体" w:hAnsi="宋体"/>
          <w:highlight w:val="none"/>
        </w:rPr>
      </w:pPr>
      <w:r>
        <w:rPr>
          <w:rFonts w:hint="eastAsia" w:ascii="宋体" w:hAnsi="宋体"/>
          <w:highlight w:val="none"/>
        </w:rPr>
        <w:t>（三）召开基金份额持有人大会的通知时间、通知内容、通知方式</w:t>
      </w:r>
    </w:p>
    <w:p w14:paraId="3F3AADE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1、召开基金份额持有人大会，召集人应于会议召开前30日在规定媒介公告。基金份额持有人大会通知应至少载明以下内容：</w:t>
      </w:r>
    </w:p>
    <w:p w14:paraId="1AE06CC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（1）会议召开的时间、地点和会议形式；</w:t>
      </w:r>
    </w:p>
    <w:p w14:paraId="0747E3B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（2）会议拟审议的事项、议事程序和表决方式；</w:t>
      </w:r>
    </w:p>
    <w:p w14:paraId="1DB780A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（3）有权出席基金份额持有人大会的基金份额持有人的权益登记日；</w:t>
      </w:r>
    </w:p>
    <w:p w14:paraId="2BC0CD7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（4）授权委托证明的内容要求（包括但不限于代理人身份，代理权限和代理有效期限等）、送达时间和地点；</w:t>
      </w:r>
    </w:p>
    <w:p w14:paraId="016C5FB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（5）会务常设联系人姓名及联系电话；</w:t>
      </w:r>
    </w:p>
    <w:p w14:paraId="4F5FD1E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（6）出席会议者必须准备的文件和必须履行的手续；</w:t>
      </w:r>
    </w:p>
    <w:p w14:paraId="4F8F038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（7）召集人需要通知的其他事项。</w:t>
      </w:r>
    </w:p>
    <w:p w14:paraId="0EDCDE8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374C1B1">
      <w:pPr>
        <w:adjustRightInd w:val="0"/>
        <w:snapToGrid w:val="0"/>
        <w:spacing w:line="360" w:lineRule="auto"/>
        <w:ind w:firstLine="420" w:firstLineChars="200"/>
        <w:rPr>
          <w:rFonts w:ascii="宋体" w:hAnsi="宋体"/>
          <w:highlight w:val="none"/>
        </w:rPr>
      </w:pPr>
      <w:r>
        <w:rPr>
          <w:rFonts w:hint="eastAsia" w:ascii="宋体" w:hAnsi="宋体"/>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8A42904">
      <w:pPr>
        <w:adjustRightInd w:val="0"/>
        <w:snapToGrid w:val="0"/>
        <w:spacing w:line="360" w:lineRule="auto"/>
        <w:ind w:firstLine="420" w:firstLineChars="200"/>
        <w:rPr>
          <w:rFonts w:ascii="宋体" w:hAnsi="宋体"/>
          <w:highlight w:val="none"/>
        </w:rPr>
      </w:pPr>
      <w:r>
        <w:rPr>
          <w:rFonts w:hint="eastAsia" w:ascii="宋体" w:hAnsi="宋体"/>
          <w:highlight w:val="none"/>
        </w:rPr>
        <w:t>（四）基金份额持有人出席会议的方式</w:t>
      </w:r>
    </w:p>
    <w:p w14:paraId="14FB3C4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基金份额持有人大会可通过现场开会方式、通讯开会方式或法律法规、监管机构允许的其他方式召开，会议的召开方式由会议召集人确定。</w:t>
      </w:r>
    </w:p>
    <w:p w14:paraId="122EE1E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765940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93FEE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7CA079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通讯开会。通讯开会系指基金份额持有人将其对表决事项的投票以书面形式或基金份额持有人大会公告载明的其他方式在表决截止日以前送达至召集人指定的地址。通讯开会应以书面方式或基金份额持有人大会公告载明的其他方式进行表决。</w:t>
      </w:r>
    </w:p>
    <w:p w14:paraId="7EA4308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在同时符合以下条件时，通讯开会的方式视为有效：</w:t>
      </w:r>
    </w:p>
    <w:p w14:paraId="5A4FDE0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（1）会议召集人按《基金合同》约定公布会议通知后，在2个工作日内连续公布相关提示性公告；</w:t>
      </w:r>
    </w:p>
    <w:p w14:paraId="634E6DE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CEF5E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CD5E1E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2DE1FF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在不违反法律法规和监管机关规定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14:paraId="70C77C51">
      <w:pPr>
        <w:adjustRightInd w:val="0"/>
        <w:snapToGrid w:val="0"/>
        <w:spacing w:line="360" w:lineRule="auto"/>
        <w:ind w:firstLine="420" w:firstLineChars="200"/>
        <w:rPr>
          <w:rFonts w:ascii="宋体" w:hAnsi="宋体"/>
          <w:highlight w:val="none"/>
        </w:rPr>
      </w:pPr>
      <w:r>
        <w:rPr>
          <w:rFonts w:hint="eastAsia" w:ascii="宋体" w:hAnsi="宋体"/>
          <w:highlight w:val="none"/>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49F5790">
      <w:pPr>
        <w:adjustRightInd w:val="0"/>
        <w:snapToGrid w:val="0"/>
        <w:spacing w:line="360" w:lineRule="auto"/>
        <w:ind w:firstLine="420" w:firstLineChars="200"/>
        <w:rPr>
          <w:rFonts w:ascii="宋体" w:hAnsi="宋体"/>
          <w:highlight w:val="none"/>
        </w:rPr>
      </w:pPr>
      <w:r>
        <w:rPr>
          <w:rFonts w:hint="eastAsia" w:ascii="宋体" w:hAnsi="宋体"/>
          <w:highlight w:val="none"/>
        </w:rPr>
        <w:t>（五）议事内容与程序</w:t>
      </w:r>
    </w:p>
    <w:p w14:paraId="1E0C35B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1、议事内容及提案权</w:t>
      </w:r>
    </w:p>
    <w:p w14:paraId="5BB466D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A403D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基金份额持有人大会的召集人发出召集会议的通知后，对原有提案的修改应当在基金份额持有人大会召开前及时公告。</w:t>
      </w:r>
    </w:p>
    <w:p w14:paraId="028BE35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基金份额持有人大会不得对未事先公告的议事内容进行表决。</w:t>
      </w:r>
    </w:p>
    <w:p w14:paraId="4E033E7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2、议事程序</w:t>
      </w:r>
    </w:p>
    <w:p w14:paraId="253C065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（1）现场开会</w:t>
      </w:r>
    </w:p>
    <w:p w14:paraId="5861405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5C2E4D1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会议召集人应当制作出席会议人员的签名册。签名册载明参加会议人员姓名（或单位名称）、身份证明文件号码、持有或代表有表决权的基金份额、委托人姓名（或单位名称）和联系方式等事项。</w:t>
      </w:r>
    </w:p>
    <w:p w14:paraId="7F7DD4F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（2）通讯开会</w:t>
      </w:r>
    </w:p>
    <w:p w14:paraId="1925C7B6">
      <w:pPr>
        <w:adjustRightInd w:val="0"/>
        <w:snapToGrid w:val="0"/>
        <w:spacing w:line="360" w:lineRule="auto"/>
        <w:ind w:firstLine="420" w:firstLineChars="200"/>
        <w:rPr>
          <w:rFonts w:ascii="宋体" w:hAnsi="宋体"/>
          <w:highlight w:val="none"/>
        </w:rPr>
      </w:pPr>
      <w:r>
        <w:rPr>
          <w:rFonts w:hint="eastAsia" w:ascii="宋体" w:hAnsi="宋体"/>
          <w:highlight w:val="none"/>
        </w:rPr>
        <w:t>在通讯开会的情况下，首先由召集人提前30日公布提案，在所通知的表决截止日期后2个工作日内在公证机关监督下由召集人统计全部有效表决，在公证机关监督下形成决议。</w:t>
      </w:r>
    </w:p>
    <w:p w14:paraId="569C0FC2">
      <w:pPr>
        <w:adjustRightInd w:val="0"/>
        <w:snapToGrid w:val="0"/>
        <w:spacing w:line="360" w:lineRule="auto"/>
        <w:ind w:firstLine="420" w:firstLineChars="200"/>
        <w:rPr>
          <w:rFonts w:ascii="宋体" w:hAnsi="宋体"/>
          <w:highlight w:val="none"/>
        </w:rPr>
      </w:pPr>
      <w:r>
        <w:rPr>
          <w:rFonts w:hint="eastAsia" w:ascii="宋体" w:hAnsi="宋体"/>
          <w:highlight w:val="none"/>
        </w:rPr>
        <w:t>（六）表决</w:t>
      </w:r>
    </w:p>
    <w:p w14:paraId="6B2C39A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基金份额持有人所持每份基金份额有一票表决权。</w:t>
      </w:r>
    </w:p>
    <w:p w14:paraId="5F7E1E0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基金份额持有人大会决议分为一般决议和特别决议：</w:t>
      </w:r>
    </w:p>
    <w:p w14:paraId="08678F4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7BDFFD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特别决议，特别决议应当经参加大会的基金份额持有人或其代理人所持表决权的三分之二以上（含三分之二）通过方可做出。除法律法规、监管机构另有规定或本基金合同另有约定外，转换基金运作方式、更换基金管理人或者基金托管人、终止《基金合同》、本基金与其他基金合并以特别决议通过方为有效。</w:t>
      </w:r>
    </w:p>
    <w:p w14:paraId="0D5892FA">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基金份额持有人大会采取记名方式进行投票表决。</w:t>
      </w:r>
    </w:p>
    <w:p w14:paraId="6B48DEC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18EBA15">
      <w:pPr>
        <w:adjustRightInd w:val="0"/>
        <w:snapToGrid w:val="0"/>
        <w:spacing w:line="360" w:lineRule="auto"/>
        <w:ind w:firstLine="420" w:firstLineChars="200"/>
        <w:rPr>
          <w:rFonts w:ascii="宋体" w:hAnsi="宋体"/>
          <w:highlight w:val="none"/>
        </w:rPr>
      </w:pPr>
      <w:r>
        <w:rPr>
          <w:rFonts w:hint="eastAsia" w:ascii="宋体" w:hAnsi="宋体"/>
          <w:highlight w:val="none"/>
        </w:rPr>
        <w:t>基金份额持有人大会的各项提案或同一项提案内并列的各项议题应当分开审议、逐项表决。</w:t>
      </w:r>
    </w:p>
    <w:p w14:paraId="319EDD6C">
      <w:pPr>
        <w:adjustRightInd w:val="0"/>
        <w:snapToGrid w:val="0"/>
        <w:spacing w:line="360" w:lineRule="auto"/>
        <w:ind w:firstLine="420" w:firstLineChars="200"/>
        <w:rPr>
          <w:rFonts w:ascii="宋体" w:hAnsi="宋体"/>
          <w:highlight w:val="none"/>
        </w:rPr>
      </w:pPr>
      <w:r>
        <w:rPr>
          <w:rFonts w:hint="eastAsia" w:ascii="宋体" w:hAnsi="宋体"/>
          <w:highlight w:val="none"/>
        </w:rPr>
        <w:t>（七）计票</w:t>
      </w:r>
    </w:p>
    <w:p w14:paraId="6FA4565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1、现场开会</w:t>
      </w:r>
    </w:p>
    <w:p w14:paraId="5B4FFC1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2B82200">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（2）监票人应当在基金份额持有人表决后立即进行清点并由大会主持人当场公布计票结果。</w:t>
      </w:r>
    </w:p>
    <w:p w14:paraId="0564A2E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04914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（4）计票过程应由公证机关予以公证，基金管理人或基金托管人拒不出席大会的，不影响计票的效力。</w:t>
      </w:r>
    </w:p>
    <w:p w14:paraId="286F86D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2、通讯开会</w:t>
      </w:r>
    </w:p>
    <w:p w14:paraId="12531F1A">
      <w:pPr>
        <w:adjustRightInd w:val="0"/>
        <w:snapToGrid w:val="0"/>
        <w:spacing w:line="360" w:lineRule="auto"/>
        <w:ind w:firstLine="420" w:firstLineChars="200"/>
        <w:rPr>
          <w:rFonts w:ascii="宋体" w:hAnsi="宋体"/>
          <w:highlight w:val="none"/>
        </w:rPr>
      </w:pPr>
      <w:r>
        <w:rPr>
          <w:rFonts w:hint="eastAsia" w:ascii="宋体" w:hAnsi="宋体"/>
          <w:highlight w:val="none"/>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D34B1A">
      <w:pPr>
        <w:adjustRightInd w:val="0"/>
        <w:snapToGrid w:val="0"/>
        <w:spacing w:line="360" w:lineRule="auto"/>
        <w:ind w:firstLine="420" w:firstLineChars="200"/>
        <w:rPr>
          <w:rFonts w:ascii="宋体" w:hAnsi="宋体"/>
          <w:highlight w:val="none"/>
        </w:rPr>
      </w:pPr>
      <w:r>
        <w:rPr>
          <w:rFonts w:hint="eastAsia" w:ascii="宋体" w:hAnsi="宋体"/>
          <w:highlight w:val="none"/>
        </w:rPr>
        <w:t>（八）生效与公告</w:t>
      </w:r>
    </w:p>
    <w:p w14:paraId="3EEE4F1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基金份额持有人大会的决议，召集人应当自通过之日起5日内报中国证监会备案。</w:t>
      </w:r>
    </w:p>
    <w:p w14:paraId="63FE12D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基金份额持有人大会的决议自表决通过之日起生效。</w:t>
      </w:r>
    </w:p>
    <w:p w14:paraId="3DDC47B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基金份额持有人大会决议自生效之日起按规定在规定媒介上公告。如果采用通讯方式进行表决，在公告基金份额持有人大会决议时，必须将公证书全文、公证机构、公证员姓名等一同公告。</w:t>
      </w:r>
    </w:p>
    <w:p w14:paraId="3B440ACA">
      <w:pPr>
        <w:adjustRightInd w:val="0"/>
        <w:snapToGrid w:val="0"/>
        <w:spacing w:line="360" w:lineRule="auto"/>
        <w:ind w:firstLine="420" w:firstLineChars="200"/>
        <w:rPr>
          <w:rFonts w:ascii="宋体" w:hAnsi="宋体"/>
          <w:highlight w:val="none"/>
        </w:rPr>
      </w:pPr>
      <w:r>
        <w:rPr>
          <w:rFonts w:hint="eastAsia" w:ascii="宋体" w:hAnsi="宋体"/>
          <w:highlight w:val="none"/>
        </w:rPr>
        <w:t>基金管理人、基金托管人和基金份额持有人应当执行生效的基金份额持有人大会的决议。生效的基金份额持有人大会决议对全体基金份额持有人、基金管理人、基金托管人均有约束力。</w:t>
      </w:r>
    </w:p>
    <w:p w14:paraId="1885B9D7">
      <w:pPr>
        <w:adjustRightInd w:val="0"/>
        <w:snapToGrid w:val="0"/>
        <w:spacing w:line="360" w:lineRule="auto"/>
        <w:ind w:firstLine="420" w:firstLineChars="200"/>
        <w:rPr>
          <w:rFonts w:ascii="宋体" w:hAnsi="宋体"/>
          <w:highlight w:val="none"/>
        </w:rPr>
      </w:pPr>
      <w:r>
        <w:rPr>
          <w:rFonts w:hint="eastAsia" w:ascii="宋体" w:hAnsi="宋体"/>
          <w:highlight w:val="none"/>
        </w:rPr>
        <w:t>（九）实施侧袋机制期间基金份额持有人大会的特殊约定</w:t>
      </w:r>
    </w:p>
    <w:p w14:paraId="6CEED1D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26563B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1、基金份额持有人行使提议权、召集权、提名权所需单独或合计代表相关基金份额10%以上（含10%）；</w:t>
      </w:r>
    </w:p>
    <w:p w14:paraId="34298FF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2、现场开会的到会者在权益登记日代表的基金份额不少于本基金在权益登记日相关基金份额的二分之一（含二分之一）；</w:t>
      </w:r>
    </w:p>
    <w:p w14:paraId="0B43F41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3、通讯开会的直接出具表决意见或授权他人代表出具表决意见的基金份额持有人所持有的基金份额不小于在权益登记日相关基金份额的二分之一（含二分之一）；</w:t>
      </w:r>
    </w:p>
    <w:p w14:paraId="6F6C4ACF">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840067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5、现场开会由出席大会的基金份额持有人和代理人所持表决权的50%以上（含50%）选举产生一名基金份额持有人作为该次基金份额持有人大会的主持人；</w:t>
      </w:r>
    </w:p>
    <w:p w14:paraId="6F1928A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6、一般决议须经参加大会的基金份额持有人或其代理人所持表决权的二分之一以上（含二分之一）通过；</w:t>
      </w:r>
    </w:p>
    <w:p w14:paraId="3BB44CA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7、特别决议应当经参加大会的基金份额持有人或其代理人所持表决权的三分之二以上（含三分之二）通过。</w:t>
      </w:r>
    </w:p>
    <w:p w14:paraId="0E695E4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侧袋机制实施期间，基金份额持有人大会审议事项涉及主袋账户和侧袋账户的，应分别由主袋账户、侧袋账户的基金份额持有人进行表决，同一主侧袋账户内每份基金份额具有平等的表决权。表决事项未涉及侧袋账户的，侧袋账户份额无表决权。</w:t>
      </w:r>
    </w:p>
    <w:p w14:paraId="38E84093">
      <w:pPr>
        <w:adjustRightInd w:val="0"/>
        <w:snapToGrid w:val="0"/>
        <w:spacing w:line="360" w:lineRule="auto"/>
        <w:ind w:firstLine="420" w:firstLineChars="200"/>
        <w:rPr>
          <w:rFonts w:ascii="宋体" w:hAnsi="宋体"/>
          <w:highlight w:val="none"/>
        </w:rPr>
      </w:pPr>
      <w:r>
        <w:rPr>
          <w:rFonts w:hint="eastAsia" w:ascii="宋体" w:hAnsi="宋体"/>
          <w:highlight w:val="none"/>
        </w:rPr>
        <w:t>侧袋机制实施期间，关于基金份额持有人大会的相关规定以本节特殊约定内容为准，本节没有规定的适用上文相关约定。</w:t>
      </w:r>
    </w:p>
    <w:p w14:paraId="771388B9">
      <w:pPr>
        <w:adjustRightInd w:val="0"/>
        <w:snapToGrid w:val="0"/>
        <w:spacing w:line="360" w:lineRule="auto"/>
        <w:ind w:firstLine="420" w:firstLineChars="200"/>
        <w:rPr>
          <w:rFonts w:ascii="宋体" w:hAnsi="宋体"/>
          <w:highlight w:val="none"/>
        </w:rPr>
      </w:pPr>
      <w:r>
        <w:rPr>
          <w:rFonts w:hint="eastAsia" w:ascii="宋体" w:hAnsi="宋体"/>
          <w:highlight w:val="none"/>
        </w:rPr>
        <w:t>（十）</w:t>
      </w:r>
      <w:r>
        <w:rPr>
          <w:rFonts w:hint="eastAsia" w:asciiTheme="minorEastAsia" w:hAnsiTheme="minorEastAsia" w:eastAsiaTheme="minorEastAsia"/>
          <w:highlight w:val="none"/>
        </w:rPr>
        <w:t>本部分关于基金份额持有人大会召开事由、召开条件、议事程序、表决条件等规定，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审议。</w:t>
      </w:r>
    </w:p>
    <w:p w14:paraId="6BA3A79C">
      <w:pPr>
        <w:adjustRightInd w:val="0"/>
        <w:snapToGrid w:val="0"/>
        <w:spacing w:line="360" w:lineRule="auto"/>
        <w:ind w:firstLine="420" w:firstLineChars="200"/>
        <w:rPr>
          <w:rFonts w:ascii="宋体" w:hAnsi="宋体"/>
          <w:highlight w:val="none"/>
        </w:rPr>
      </w:pPr>
      <w:r>
        <w:rPr>
          <w:rFonts w:hint="eastAsia" w:ascii="宋体" w:hAnsi="宋体"/>
          <w:highlight w:val="none"/>
        </w:rPr>
        <w:t>（十一）鉴于本基金是目标ETF的联接基金，本基金的基金份额持有人可以凭所持有的本基金份额出席或者委派代表出席目标ETF的基金份额持有人大会并参与表决，其持有的享有表决权的基金份额数和表决票数为：在目标ETF基金份额持有人大会的权益登记日，本基金持有目标ETF份额的总数乘以该持有人所持有的本基金份额占本基金总份额的比例，计算结果按照四舍五入的方法，保留到整数位。</w:t>
      </w:r>
    </w:p>
    <w:p w14:paraId="30539BA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1CA8ECA1">
      <w:pPr>
        <w:adjustRightInd w:val="0"/>
        <w:snapToGrid w:val="0"/>
        <w:spacing w:line="360" w:lineRule="auto"/>
        <w:ind w:firstLine="420" w:firstLineChars="200"/>
        <w:rPr>
          <w:rFonts w:ascii="宋体" w:hAnsi="宋体"/>
          <w:highlight w:val="none"/>
        </w:rPr>
      </w:pPr>
      <w:r>
        <w:rPr>
          <w:rFonts w:hint="eastAsia" w:ascii="宋体" w:hAnsi="宋体"/>
          <w:highlight w:val="none"/>
        </w:rPr>
        <w:t>本基金的基金管理人代表本基金的基金份额持有人提议召开或召集目标ETF的基金份额持有人大会的，须先遵照本基金基金合同的约定召开本基金的基金份额持有人大会，本基金的基金份额持有人大会决定提议召开或召集目标ETF的基金份额持有人大会的，由本基金基金管理人代表本基金的基金份额持有人提议召开或召集目标ETF的基金份额持有人大会。</w:t>
      </w:r>
    </w:p>
    <w:p w14:paraId="6E957B35">
      <w:pPr>
        <w:adjustRightInd w:val="0"/>
        <w:snapToGrid w:val="0"/>
        <w:spacing w:line="360" w:lineRule="auto"/>
        <w:ind w:firstLine="420" w:firstLineChars="200"/>
        <w:rPr>
          <w:rFonts w:ascii="宋体" w:hAnsi="宋体"/>
        </w:rPr>
      </w:pPr>
      <w:r>
        <w:rPr>
          <w:rFonts w:hint="eastAsia" w:ascii="宋体" w:hAnsi="宋体"/>
        </w:rPr>
        <w:t>三、基金的收益与分配</w:t>
      </w:r>
    </w:p>
    <w:p w14:paraId="7CDBF18D">
      <w:pPr>
        <w:adjustRightInd w:val="0"/>
        <w:snapToGrid w:val="0"/>
        <w:spacing w:line="360" w:lineRule="auto"/>
        <w:ind w:firstLine="420" w:firstLineChars="200"/>
        <w:rPr>
          <w:rFonts w:ascii="宋体" w:hAnsi="宋体"/>
          <w:highlight w:val="none"/>
        </w:rPr>
      </w:pPr>
      <w:r>
        <w:rPr>
          <w:rFonts w:hint="eastAsia" w:ascii="宋体" w:hAnsi="宋体"/>
          <w:highlight w:val="none"/>
        </w:rPr>
        <w:t>（一）基金利润的构成</w:t>
      </w:r>
    </w:p>
    <w:p w14:paraId="40B5CFB7">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基金利润指基金利息收入、投资收益、公允价值变动收益和其他收入扣除相关费用后的余额，基金已实现收益指基金利润减去公允价值变动收益后的余额。</w:t>
      </w:r>
    </w:p>
    <w:p w14:paraId="76FA99B3">
      <w:pPr>
        <w:adjustRightInd w:val="0"/>
        <w:snapToGrid w:val="0"/>
        <w:spacing w:line="360" w:lineRule="auto"/>
        <w:ind w:firstLine="420" w:firstLineChars="200"/>
        <w:rPr>
          <w:rFonts w:ascii="宋体" w:hAnsi="宋体"/>
          <w:highlight w:val="none"/>
        </w:rPr>
      </w:pPr>
      <w:r>
        <w:rPr>
          <w:rFonts w:hint="eastAsia" w:ascii="宋体" w:hAnsi="宋体"/>
          <w:highlight w:val="none"/>
        </w:rPr>
        <w:t>（二）基金可供分配利润</w:t>
      </w:r>
    </w:p>
    <w:p w14:paraId="05E4C3D8">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基金可供分配利润指截至收益分配基准日基金未分配利润与未分配利润中已实现收益的孰低数。</w:t>
      </w:r>
    </w:p>
    <w:p w14:paraId="373E6144">
      <w:pPr>
        <w:adjustRightInd w:val="0"/>
        <w:snapToGrid w:val="0"/>
        <w:spacing w:line="360" w:lineRule="auto"/>
        <w:ind w:firstLine="420" w:firstLineChars="200"/>
        <w:rPr>
          <w:rFonts w:ascii="宋体" w:hAnsi="宋体"/>
          <w:highlight w:val="none"/>
        </w:rPr>
      </w:pPr>
      <w:r>
        <w:rPr>
          <w:rFonts w:hint="eastAsia" w:ascii="宋体" w:hAnsi="宋体"/>
          <w:highlight w:val="none"/>
        </w:rPr>
        <w:t>（三）基金收益分配原则</w:t>
      </w:r>
    </w:p>
    <w:p w14:paraId="2FE3BC5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本基金收益分配应遵循下列原则：</w:t>
      </w:r>
    </w:p>
    <w:p w14:paraId="3AD5742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7F8FA74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2、由于本基金A类基金份额不收取销售服务费，C类基金份额收取销售服务费，各基金份额类别对应的可分配收益将有所不同。本基金同一类别每一基金份额享有同等分配权；</w:t>
      </w:r>
    </w:p>
    <w:p w14:paraId="1249EED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3、法律法规或监管机关另有规定的，从其规定。</w:t>
      </w:r>
    </w:p>
    <w:p w14:paraId="68483981">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在不违反法律法规且对基金份额持有人利益无实质性不利影响的前提下，基金管理人经与基金托管人协商一致，并履行适当程序后，基金管理人可对基金收益分配的有关业务规则进行调整，无需召开基金份额持有人大会审议。</w:t>
      </w:r>
    </w:p>
    <w:p w14:paraId="5E144C68">
      <w:pPr>
        <w:adjustRightInd w:val="0"/>
        <w:snapToGrid w:val="0"/>
        <w:spacing w:line="360" w:lineRule="auto"/>
        <w:ind w:firstLine="420" w:firstLineChars="200"/>
        <w:rPr>
          <w:rFonts w:ascii="宋体" w:hAnsi="宋体"/>
          <w:highlight w:val="none"/>
        </w:rPr>
      </w:pPr>
      <w:r>
        <w:rPr>
          <w:rFonts w:hint="eastAsia" w:ascii="宋体" w:hAnsi="宋体"/>
          <w:highlight w:val="none"/>
        </w:rPr>
        <w:t>（四）收益分配方案</w:t>
      </w:r>
    </w:p>
    <w:p w14:paraId="539EE85B">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基金收益分配方案中应载明截至收益分配基准日的可供分配利润、基金收益分配对象、</w:t>
      </w:r>
      <w:r>
        <w:rPr>
          <w:rFonts w:asciiTheme="minorEastAsia" w:hAnsiTheme="minorEastAsia" w:eastAsiaTheme="minorEastAsia"/>
          <w:highlight w:val="none"/>
        </w:rPr>
        <w:t>分配</w:t>
      </w:r>
      <w:r>
        <w:rPr>
          <w:rFonts w:hint="eastAsia" w:asciiTheme="minorEastAsia" w:hAnsiTheme="minorEastAsia" w:eastAsiaTheme="minorEastAsia"/>
          <w:highlight w:val="none"/>
        </w:rPr>
        <w:t>时间、分配数额及比例、分配方式等内容。</w:t>
      </w:r>
    </w:p>
    <w:p w14:paraId="249C5016">
      <w:pPr>
        <w:adjustRightInd w:val="0"/>
        <w:snapToGrid w:val="0"/>
        <w:spacing w:line="360" w:lineRule="auto"/>
        <w:ind w:firstLine="420" w:firstLineChars="200"/>
        <w:rPr>
          <w:rFonts w:ascii="宋体" w:hAnsi="宋体"/>
          <w:highlight w:val="none"/>
        </w:rPr>
      </w:pPr>
      <w:r>
        <w:rPr>
          <w:rFonts w:hint="eastAsia" w:ascii="宋体" w:hAnsi="宋体"/>
          <w:highlight w:val="none"/>
        </w:rPr>
        <w:t>（五）收益分配方案的确定、公告与实施</w:t>
      </w:r>
    </w:p>
    <w:p w14:paraId="66CB5DF8">
      <w:pPr>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本基金收益分配方案由基金管理人拟定，并由基金托管人复核，</w:t>
      </w:r>
      <w:r>
        <w:rPr>
          <w:rFonts w:hint="eastAsia"/>
          <w:bCs/>
          <w:szCs w:val="21"/>
          <w:highlight w:val="none"/>
        </w:rPr>
        <w:t>依照</w:t>
      </w:r>
      <w:r>
        <w:rPr>
          <w:bCs/>
          <w:szCs w:val="21"/>
          <w:highlight w:val="none"/>
        </w:rPr>
        <w:t>《</w:t>
      </w:r>
      <w:r>
        <w:rPr>
          <w:rFonts w:hint="eastAsia"/>
          <w:bCs/>
          <w:szCs w:val="21"/>
          <w:highlight w:val="none"/>
        </w:rPr>
        <w:t>信息</w:t>
      </w:r>
      <w:r>
        <w:rPr>
          <w:bCs/>
          <w:szCs w:val="21"/>
          <w:highlight w:val="none"/>
        </w:rPr>
        <w:t>披露办法》</w:t>
      </w:r>
      <w:r>
        <w:rPr>
          <w:rFonts w:hint="eastAsia"/>
          <w:bCs/>
          <w:szCs w:val="21"/>
          <w:highlight w:val="none"/>
        </w:rPr>
        <w:t>的有关</w:t>
      </w:r>
      <w:r>
        <w:rPr>
          <w:bCs/>
          <w:szCs w:val="21"/>
          <w:highlight w:val="none"/>
        </w:rPr>
        <w:t>规定在</w:t>
      </w:r>
      <w:r>
        <w:rPr>
          <w:rFonts w:hint="eastAsia"/>
          <w:bCs/>
          <w:szCs w:val="21"/>
          <w:highlight w:val="none"/>
        </w:rPr>
        <w:t>规定媒介</w:t>
      </w:r>
      <w:r>
        <w:rPr>
          <w:bCs/>
          <w:szCs w:val="21"/>
          <w:highlight w:val="none"/>
        </w:rPr>
        <w:t>公告</w:t>
      </w:r>
      <w:r>
        <w:rPr>
          <w:rFonts w:hint="eastAsia" w:asciiTheme="minorEastAsia" w:hAnsiTheme="minorEastAsia" w:eastAsiaTheme="minorEastAsia"/>
          <w:highlight w:val="none"/>
        </w:rPr>
        <w:t>。</w:t>
      </w:r>
    </w:p>
    <w:p w14:paraId="1AB4EFAD">
      <w:pPr>
        <w:adjustRightInd w:val="0"/>
        <w:snapToGrid w:val="0"/>
        <w:spacing w:line="360" w:lineRule="auto"/>
        <w:ind w:firstLine="420" w:firstLineChars="200"/>
        <w:rPr>
          <w:rFonts w:ascii="宋体" w:hAnsi="宋体"/>
          <w:highlight w:val="none"/>
        </w:rPr>
      </w:pPr>
      <w:r>
        <w:rPr>
          <w:rFonts w:hint="eastAsia" w:ascii="宋体" w:hAnsi="宋体"/>
          <w:highlight w:val="none"/>
        </w:rPr>
        <w:t>（六）基金收益分配中发生的费用</w:t>
      </w:r>
    </w:p>
    <w:p w14:paraId="2D25BB3D">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F1A6AD0">
      <w:pPr>
        <w:adjustRightInd w:val="0"/>
        <w:snapToGrid w:val="0"/>
        <w:spacing w:line="360" w:lineRule="auto"/>
        <w:ind w:firstLine="420" w:firstLineChars="200"/>
        <w:rPr>
          <w:rFonts w:ascii="宋体" w:hAnsi="宋体"/>
          <w:highlight w:val="none"/>
        </w:rPr>
      </w:pPr>
      <w:r>
        <w:rPr>
          <w:rFonts w:hint="eastAsia" w:ascii="宋体" w:hAnsi="宋体"/>
          <w:highlight w:val="none"/>
        </w:rPr>
        <w:t>（七）实施侧袋机制期间的收益分配</w:t>
      </w:r>
    </w:p>
    <w:p w14:paraId="16654538">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本基金实施侧袋机制的，侧袋账户不进行收益分配，详见招募说明书的规定。</w:t>
      </w:r>
    </w:p>
    <w:p w14:paraId="69C983E2">
      <w:pPr>
        <w:adjustRightInd w:val="0"/>
        <w:snapToGrid w:val="0"/>
        <w:spacing w:line="360" w:lineRule="auto"/>
        <w:ind w:firstLine="420" w:firstLineChars="200"/>
        <w:rPr>
          <w:rFonts w:ascii="宋体" w:hAnsi="宋体"/>
          <w:highlight w:val="none"/>
        </w:rPr>
      </w:pPr>
      <w:r>
        <w:rPr>
          <w:rFonts w:hint="eastAsia" w:ascii="宋体" w:hAnsi="宋体"/>
          <w:highlight w:val="none"/>
        </w:rPr>
        <w:t>四、基金财产管理、运作有关费用的提取、支付方式与比例</w:t>
      </w:r>
    </w:p>
    <w:p w14:paraId="59D14C9C">
      <w:pPr>
        <w:adjustRightInd w:val="0"/>
        <w:snapToGrid w:val="0"/>
        <w:spacing w:line="360" w:lineRule="auto"/>
        <w:ind w:firstLine="420" w:firstLineChars="200"/>
        <w:rPr>
          <w:rFonts w:ascii="宋体" w:hAnsi="宋体"/>
          <w:highlight w:val="none"/>
        </w:rPr>
      </w:pPr>
      <w:r>
        <w:rPr>
          <w:rFonts w:hint="eastAsia" w:ascii="宋体" w:hAnsi="宋体"/>
          <w:highlight w:val="none"/>
        </w:rPr>
        <w:t>（一）基金费用的种类</w:t>
      </w:r>
    </w:p>
    <w:p w14:paraId="3688CCB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基金管理人的管理费；</w:t>
      </w:r>
    </w:p>
    <w:p w14:paraId="65CC4D8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基金托管人的托管费；</w:t>
      </w:r>
    </w:p>
    <w:p w14:paraId="4AF4275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3.C类基金份额的销售服务费；</w:t>
      </w:r>
    </w:p>
    <w:p w14:paraId="5EFEEBC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w:t>
      </w:r>
      <w:r>
        <w:rPr>
          <w:rFonts w:asciiTheme="minorEastAsia" w:hAnsiTheme="minorEastAsia" w:eastAsiaTheme="minorEastAsia"/>
          <w:highlight w:val="none"/>
        </w:rPr>
        <w:t>.</w:t>
      </w: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w:t>
      </w:r>
      <w:r>
        <w:rPr>
          <w:rFonts w:asciiTheme="minorEastAsia" w:hAnsiTheme="minorEastAsia" w:eastAsiaTheme="minorEastAsia"/>
          <w:highlight w:val="none"/>
        </w:rPr>
        <w:t>生效后</w:t>
      </w:r>
      <w:r>
        <w:rPr>
          <w:rFonts w:hint="eastAsia" w:asciiTheme="minorEastAsia" w:hAnsiTheme="minorEastAsia" w:eastAsiaTheme="minorEastAsia"/>
          <w:highlight w:val="none"/>
        </w:rPr>
        <w:t>与</w:t>
      </w:r>
      <w:r>
        <w:rPr>
          <w:rFonts w:asciiTheme="minorEastAsia" w:hAnsiTheme="minorEastAsia" w:eastAsiaTheme="minorEastAsia"/>
          <w:highlight w:val="none"/>
        </w:rPr>
        <w:t>基金</w:t>
      </w:r>
      <w:r>
        <w:rPr>
          <w:rFonts w:hint="eastAsia" w:asciiTheme="minorEastAsia" w:hAnsiTheme="minorEastAsia" w:eastAsiaTheme="minorEastAsia"/>
          <w:highlight w:val="none"/>
        </w:rPr>
        <w:t>相关的</w:t>
      </w:r>
      <w:r>
        <w:rPr>
          <w:rFonts w:asciiTheme="minorEastAsia" w:hAnsiTheme="minorEastAsia" w:eastAsiaTheme="minorEastAsia"/>
          <w:highlight w:val="none"/>
        </w:rPr>
        <w:t>信息披露费用</w:t>
      </w:r>
      <w:r>
        <w:rPr>
          <w:rFonts w:hint="eastAsia" w:asciiTheme="minorEastAsia" w:hAnsiTheme="minorEastAsia" w:eastAsiaTheme="minorEastAsia"/>
          <w:highlight w:val="none"/>
        </w:rPr>
        <w:t>，法律法规、中国证监会另有规定的除外</w:t>
      </w:r>
      <w:r>
        <w:rPr>
          <w:rFonts w:asciiTheme="minorEastAsia" w:hAnsiTheme="minorEastAsia" w:eastAsiaTheme="minorEastAsia"/>
          <w:highlight w:val="none"/>
        </w:rPr>
        <w:t>；</w:t>
      </w:r>
    </w:p>
    <w:p w14:paraId="12632B9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w:t>
      </w:r>
      <w:r>
        <w:rPr>
          <w:rFonts w:asciiTheme="minorEastAsia" w:hAnsiTheme="minorEastAsia" w:eastAsiaTheme="minorEastAsia"/>
          <w:highlight w:val="none"/>
        </w:rPr>
        <w:t>.</w:t>
      </w: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》生效后与基金相</w:t>
      </w:r>
      <w:r>
        <w:rPr>
          <w:rFonts w:asciiTheme="minorEastAsia" w:hAnsiTheme="minorEastAsia" w:eastAsiaTheme="minorEastAsia"/>
          <w:highlight w:val="none"/>
        </w:rPr>
        <w:t>关</w:t>
      </w:r>
      <w:r>
        <w:rPr>
          <w:rFonts w:hint="eastAsia" w:asciiTheme="minorEastAsia" w:hAnsiTheme="minorEastAsia" w:eastAsiaTheme="minorEastAsia"/>
          <w:highlight w:val="none"/>
        </w:rPr>
        <w:t>的会计师费、公证费、审计费、律师费、仲裁费和诉讼费；</w:t>
      </w:r>
    </w:p>
    <w:p w14:paraId="1062EDE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6.基金份额持有人大会费用；</w:t>
      </w:r>
    </w:p>
    <w:p w14:paraId="09CAE29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w:t>
      </w:r>
      <w:r>
        <w:rPr>
          <w:rFonts w:asciiTheme="minorEastAsia" w:hAnsiTheme="minorEastAsia" w:eastAsiaTheme="minorEastAsia"/>
          <w:highlight w:val="none"/>
        </w:rPr>
        <w:t>.</w:t>
      </w:r>
      <w:r>
        <w:rPr>
          <w:rFonts w:hint="eastAsia" w:asciiTheme="minorEastAsia" w:hAnsiTheme="minorEastAsia" w:eastAsiaTheme="minorEastAsia"/>
          <w:highlight w:val="none"/>
        </w:rPr>
        <w:t>基金的证券、期货、期权交易费用；</w:t>
      </w:r>
    </w:p>
    <w:p w14:paraId="00702B6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w:t>
      </w:r>
      <w:r>
        <w:rPr>
          <w:rFonts w:asciiTheme="minorEastAsia" w:hAnsiTheme="minorEastAsia" w:eastAsiaTheme="minorEastAsia"/>
          <w:highlight w:val="none"/>
        </w:rPr>
        <w:t>.基金</w:t>
      </w:r>
      <w:r>
        <w:rPr>
          <w:rFonts w:hint="eastAsia" w:asciiTheme="minorEastAsia" w:hAnsiTheme="minorEastAsia" w:eastAsiaTheme="minorEastAsia"/>
          <w:highlight w:val="none"/>
        </w:rPr>
        <w:t>的银行汇划费用</w:t>
      </w:r>
      <w:r>
        <w:rPr>
          <w:rFonts w:asciiTheme="minorEastAsia" w:hAnsiTheme="minorEastAsia" w:eastAsiaTheme="minorEastAsia"/>
          <w:highlight w:val="none"/>
        </w:rPr>
        <w:t>；</w:t>
      </w:r>
    </w:p>
    <w:p w14:paraId="2963D6C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9.账户开户费用、账户维护费用；</w:t>
      </w:r>
    </w:p>
    <w:p w14:paraId="03B92AA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10.基金投资目标ETF的相关费用（包括但不限于目标ETF的交易费用、申购赎回费用等）；</w:t>
      </w:r>
    </w:p>
    <w:p w14:paraId="7A384E7C">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11.按照国家有关规定和《基金合同》约定，可以在基金财产中列支的其他费用。</w:t>
      </w:r>
    </w:p>
    <w:p w14:paraId="061DA2C1">
      <w:pPr>
        <w:adjustRightInd w:val="0"/>
        <w:snapToGrid w:val="0"/>
        <w:spacing w:line="360" w:lineRule="auto"/>
        <w:ind w:firstLine="420" w:firstLineChars="200"/>
        <w:rPr>
          <w:rFonts w:ascii="宋体" w:hAnsi="宋体"/>
          <w:highlight w:val="none"/>
        </w:rPr>
      </w:pPr>
      <w:r>
        <w:rPr>
          <w:rFonts w:hint="eastAsia" w:ascii="宋体" w:hAnsi="宋体"/>
          <w:highlight w:val="none"/>
        </w:rPr>
        <w:t>（二）基金费用计提方法、计提标准和支付方式</w:t>
      </w:r>
    </w:p>
    <w:p w14:paraId="50838061">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基金管理人的管理费</w:t>
      </w:r>
    </w:p>
    <w:p w14:paraId="7FF70D5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本基金管理费按前一日基金资产净值的0.50%年费率计提。管理费的计算方法如下：</w:t>
      </w:r>
    </w:p>
    <w:p w14:paraId="5AD2D22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H＝E×年管理费率÷当年天数</w:t>
      </w:r>
    </w:p>
    <w:p w14:paraId="0EF90B6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H为每日应计提的基金管理费</w:t>
      </w:r>
    </w:p>
    <w:p w14:paraId="6ACDEA0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E为前一日的基金资产净值</w:t>
      </w:r>
    </w:p>
    <w:p w14:paraId="04C2011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基金管理人对本基金投资组合中投资于目标ETF部分的基金资产净值不计提基金管理费。</w:t>
      </w:r>
    </w:p>
    <w:p w14:paraId="4510A8D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前一日的基金资产净值为已扣除本基金投资于目标ETF部分基金资产净值后的净额，金额为负时以零计。</w:t>
      </w:r>
    </w:p>
    <w:p w14:paraId="223AF5E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05520265">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基金托管人的托管费</w:t>
      </w:r>
    </w:p>
    <w:p w14:paraId="18C213A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基金托管费按前一日基金资产净值的0.10%年费率计提。托管费的计算方法如下：</w:t>
      </w:r>
    </w:p>
    <w:p w14:paraId="02D4FEF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H＝E×年托管费率÷当年天数</w:t>
      </w:r>
    </w:p>
    <w:p w14:paraId="5F7464E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H为每日应计提的基金托管费</w:t>
      </w:r>
    </w:p>
    <w:p w14:paraId="760B8FE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E为前一日的基金资产净值</w:t>
      </w:r>
    </w:p>
    <w:p w14:paraId="5FA947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基金托管人对本基金投资组合中投资于目标ETF部分的基金资产净值不计提基金托管费。</w:t>
      </w:r>
    </w:p>
    <w:p w14:paraId="11220BA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前一日的基金资产净值为已扣除本基金投资于目标ETF部分基金资产净值后的净额，金额为负时以零计。</w:t>
      </w:r>
    </w:p>
    <w:p w14:paraId="39982FD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托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6F97E177">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3.C类基金份额的</w:t>
      </w:r>
      <w:r>
        <w:rPr>
          <w:rFonts w:hint="eastAsia" w:asciiTheme="minorEastAsia" w:hAnsiTheme="minorEastAsia" w:eastAsiaTheme="minorEastAsia"/>
          <w:highlight w:val="none"/>
        </w:rPr>
        <w:t>销售服务费</w:t>
      </w:r>
    </w:p>
    <w:p w14:paraId="0D3C79C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w:t>
      </w:r>
      <w:r>
        <w:rPr>
          <w:rFonts w:asciiTheme="minorEastAsia" w:hAnsiTheme="minorEastAsia" w:eastAsiaTheme="minorEastAsia"/>
          <w:highlight w:val="none"/>
        </w:rPr>
        <w:t>A类基金份额不收取销售服务费，C</w:t>
      </w:r>
      <w:r>
        <w:rPr>
          <w:rFonts w:hint="eastAsia" w:asciiTheme="minorEastAsia" w:hAnsiTheme="minorEastAsia" w:eastAsiaTheme="minorEastAsia"/>
          <w:highlight w:val="none"/>
        </w:rPr>
        <w:t>类基金份额的销售服务费年费率为</w:t>
      </w:r>
      <w:r>
        <w:rPr>
          <w:rFonts w:asciiTheme="minorEastAsia" w:hAnsiTheme="minorEastAsia" w:eastAsiaTheme="minorEastAsia"/>
          <w:highlight w:val="none"/>
        </w:rPr>
        <w:t>0.</w:t>
      </w:r>
      <w:r>
        <w:rPr>
          <w:rFonts w:hint="eastAsia" w:asciiTheme="minorEastAsia" w:hAnsiTheme="minorEastAsia" w:eastAsiaTheme="minorEastAsia"/>
          <w:highlight w:val="none"/>
        </w:rPr>
        <w:t>30</w:t>
      </w:r>
      <w:r>
        <w:rPr>
          <w:rFonts w:asciiTheme="minorEastAsia" w:hAnsiTheme="minorEastAsia" w:eastAsiaTheme="minorEastAsia"/>
          <w:highlight w:val="none"/>
        </w:rPr>
        <w:t>%</w:t>
      </w:r>
      <w:r>
        <w:rPr>
          <w:rFonts w:hint="eastAsia" w:asciiTheme="minorEastAsia" w:hAnsiTheme="minorEastAsia" w:eastAsiaTheme="minorEastAsia"/>
          <w:highlight w:val="none"/>
        </w:rPr>
        <w:t>。</w:t>
      </w:r>
    </w:p>
    <w:p w14:paraId="01F5BAD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本基金销售服务费按前一日</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类基金份额的基金资产净值的</w:t>
      </w:r>
      <w:r>
        <w:rPr>
          <w:rFonts w:asciiTheme="minorEastAsia" w:hAnsiTheme="minorEastAsia" w:eastAsiaTheme="minorEastAsia"/>
          <w:highlight w:val="none"/>
        </w:rPr>
        <w:t>0.</w:t>
      </w:r>
      <w:r>
        <w:rPr>
          <w:rFonts w:hint="eastAsia" w:asciiTheme="minorEastAsia" w:hAnsiTheme="minorEastAsia" w:eastAsiaTheme="minorEastAsia"/>
          <w:highlight w:val="none"/>
        </w:rPr>
        <w:t>30</w:t>
      </w:r>
      <w:r>
        <w:rPr>
          <w:rFonts w:asciiTheme="minorEastAsia" w:hAnsiTheme="minorEastAsia" w:eastAsiaTheme="minorEastAsia"/>
          <w:highlight w:val="none"/>
        </w:rPr>
        <w:t>%</w:t>
      </w:r>
      <w:r>
        <w:rPr>
          <w:rFonts w:hint="eastAsia" w:asciiTheme="minorEastAsia" w:hAnsiTheme="minorEastAsia" w:eastAsiaTheme="minorEastAsia"/>
          <w:highlight w:val="none"/>
        </w:rPr>
        <w:t>年费率计提。销售服务费的计算方法如下：</w:t>
      </w:r>
      <w:r>
        <w:rPr>
          <w:rFonts w:asciiTheme="minorEastAsia" w:hAnsiTheme="minorEastAsia" w:eastAsiaTheme="minorEastAsia"/>
          <w:highlight w:val="none"/>
        </w:rPr>
        <w:t xml:space="preserve"> </w:t>
      </w:r>
    </w:p>
    <w:p w14:paraId="499C071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H=E</w:t>
      </w:r>
      <w:r>
        <w:rPr>
          <w:rFonts w:hint="eastAsia" w:asciiTheme="minorEastAsia" w:hAnsiTheme="minorEastAsia" w:eastAsiaTheme="minorEastAsia"/>
          <w:highlight w:val="none"/>
        </w:rPr>
        <w:t>×年销售服务费率÷当年天数</w:t>
      </w:r>
    </w:p>
    <w:p w14:paraId="249A8ED4">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H</w:t>
      </w:r>
      <w:r>
        <w:rPr>
          <w:rFonts w:hint="eastAsia" w:asciiTheme="minorEastAsia" w:hAnsiTheme="minorEastAsia" w:eastAsiaTheme="minorEastAsia"/>
          <w:highlight w:val="none"/>
        </w:rPr>
        <w:t>为</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类基金份额每日应计提的销售服务费</w:t>
      </w:r>
    </w:p>
    <w:p w14:paraId="0D78590F">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E</w:t>
      </w:r>
      <w:r>
        <w:rPr>
          <w:rFonts w:hint="eastAsia" w:asciiTheme="minorEastAsia" w:hAnsiTheme="minorEastAsia" w:eastAsiaTheme="minorEastAsia"/>
          <w:highlight w:val="none"/>
        </w:rPr>
        <w:t>为</w:t>
      </w:r>
      <w:r>
        <w:rPr>
          <w:rFonts w:asciiTheme="minorEastAsia" w:hAnsiTheme="minorEastAsia" w:eastAsiaTheme="minorEastAsia"/>
          <w:highlight w:val="none"/>
        </w:rPr>
        <w:t>C</w:t>
      </w:r>
      <w:r>
        <w:rPr>
          <w:rFonts w:hint="eastAsia" w:asciiTheme="minorEastAsia" w:hAnsiTheme="minorEastAsia" w:eastAsiaTheme="minorEastAsia"/>
          <w:highlight w:val="none"/>
        </w:rPr>
        <w:t>类基金份额前一日基金资产净值</w:t>
      </w:r>
    </w:p>
    <w:p w14:paraId="1807D8B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销售服务费每日计提，逐日累计至每月月末，按月支付，由基金托管人根据与基金管理人核对一致的财务数据，自动在月初3个工作日内按照指定的账户路径进行资金支付，基金管理人无需再出具资金划拨指令。若遇法定节假日、公休日或不可抗力等，支付日期顺延。费用自动扣划后，管理人应进行核对，如发现数据不符，及时联系托管人协商解决。</w:t>
      </w:r>
    </w:p>
    <w:p w14:paraId="31E62DA1">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上述“</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一</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、基金费用的种类”中第4－11项费用，根据有关法规及相应协议规定，按费用实际支出金额列入当期费用，由基金托管人从基金财产中支付。</w:t>
      </w:r>
    </w:p>
    <w:p w14:paraId="403312A8">
      <w:pPr>
        <w:adjustRightInd w:val="0"/>
        <w:snapToGrid w:val="0"/>
        <w:spacing w:line="360" w:lineRule="auto"/>
        <w:ind w:firstLine="420" w:firstLineChars="200"/>
        <w:rPr>
          <w:rFonts w:ascii="宋体" w:hAnsi="宋体"/>
          <w:highlight w:val="none"/>
        </w:rPr>
      </w:pPr>
      <w:r>
        <w:rPr>
          <w:rFonts w:hint="eastAsia" w:ascii="宋体" w:hAnsi="宋体"/>
          <w:highlight w:val="none"/>
        </w:rPr>
        <w:t>（三）不列入基金费用的项目</w:t>
      </w:r>
      <w:r>
        <w:rPr>
          <w:rFonts w:hint="eastAsia" w:ascii="宋体" w:hAnsi="宋体"/>
          <w:highlight w:val="none"/>
        </w:rPr>
        <w:tab/>
      </w:r>
    </w:p>
    <w:p w14:paraId="5F7689F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1、基金管理人和基金托管人因未履行或未完全履行义务导致的费用支出或基金财产的损失；</w:t>
      </w:r>
    </w:p>
    <w:p w14:paraId="258C925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2、基金管理人和基金托管人处理与基金运作无关的事项发生的费用；</w:t>
      </w:r>
    </w:p>
    <w:p w14:paraId="643EA94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3、《基金合同》生效前的相关费用；</w:t>
      </w:r>
    </w:p>
    <w:p w14:paraId="69CA74E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4、指数许可使用费；</w:t>
      </w:r>
    </w:p>
    <w:p w14:paraId="543845E7">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5、其他根据相关法律法规及中国证监会的有关规定不得列入基金费用的项目。</w:t>
      </w:r>
    </w:p>
    <w:p w14:paraId="3F4B986A">
      <w:pPr>
        <w:adjustRightInd w:val="0"/>
        <w:snapToGrid w:val="0"/>
        <w:spacing w:line="360" w:lineRule="auto"/>
        <w:ind w:firstLine="420" w:firstLineChars="200"/>
        <w:rPr>
          <w:rFonts w:ascii="宋体" w:hAnsi="宋体"/>
          <w:highlight w:val="none"/>
        </w:rPr>
      </w:pPr>
      <w:r>
        <w:rPr>
          <w:rFonts w:hint="eastAsia" w:ascii="宋体" w:hAnsi="宋体"/>
          <w:highlight w:val="none"/>
        </w:rPr>
        <w:t>（四）实施侧袋机制期间的基金费用</w:t>
      </w:r>
    </w:p>
    <w:p w14:paraId="266E466A">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本基金实施侧袋机制的，与侧袋账户有关的费用可以从侧袋账户中列支，但应待侧袋账户资产变现后方可列支，有关费用可酌情收取或减免，但不得收取管理费，详见招募说明书的规定。</w:t>
      </w:r>
    </w:p>
    <w:p w14:paraId="587DA1CC">
      <w:pPr>
        <w:adjustRightInd w:val="0"/>
        <w:snapToGrid w:val="0"/>
        <w:spacing w:line="360" w:lineRule="auto"/>
        <w:ind w:firstLine="420" w:firstLineChars="200"/>
        <w:rPr>
          <w:rFonts w:ascii="宋体" w:hAnsi="宋体"/>
          <w:highlight w:val="none"/>
        </w:rPr>
      </w:pPr>
      <w:r>
        <w:rPr>
          <w:rFonts w:hint="eastAsia" w:ascii="宋体" w:hAnsi="宋体"/>
          <w:highlight w:val="none"/>
        </w:rPr>
        <w:t>（五）基金税收</w:t>
      </w:r>
    </w:p>
    <w:p w14:paraId="7F0B7191">
      <w:pPr>
        <w:adjustRightInd w:val="0"/>
        <w:snapToGrid w:val="0"/>
        <w:spacing w:line="360" w:lineRule="auto"/>
        <w:ind w:firstLine="420" w:firstLineChars="200"/>
        <w:rPr>
          <w:rFonts w:ascii="宋体" w:hAnsi="宋体" w:cs="Arial"/>
          <w:szCs w:val="21"/>
          <w:highlight w:val="none"/>
        </w:rPr>
      </w:pPr>
      <w:r>
        <w:rPr>
          <w:rFonts w:hint="eastAsia" w:asciiTheme="minorEastAsia" w:hAnsiTheme="minorEastAsia" w:eastAsiaTheme="minorEastAsia"/>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9346420">
      <w:pPr>
        <w:adjustRightInd w:val="0"/>
        <w:snapToGrid w:val="0"/>
        <w:spacing w:line="360" w:lineRule="auto"/>
        <w:ind w:firstLine="420" w:firstLineChars="200"/>
        <w:rPr>
          <w:rFonts w:ascii="宋体" w:hAnsi="宋体"/>
          <w:highlight w:val="none"/>
        </w:rPr>
      </w:pPr>
      <w:r>
        <w:rPr>
          <w:rFonts w:hint="eastAsia" w:ascii="宋体" w:hAnsi="宋体"/>
          <w:highlight w:val="none"/>
        </w:rPr>
        <w:t>五、基金资产的投资范围和投资限制</w:t>
      </w:r>
    </w:p>
    <w:p w14:paraId="039B2840">
      <w:pPr>
        <w:adjustRightInd w:val="0"/>
        <w:snapToGrid w:val="0"/>
        <w:spacing w:line="360" w:lineRule="auto"/>
        <w:ind w:firstLine="420" w:firstLineChars="200"/>
        <w:rPr>
          <w:rFonts w:ascii="宋体" w:hAnsi="宋体"/>
          <w:highlight w:val="none"/>
        </w:rPr>
      </w:pPr>
      <w:r>
        <w:rPr>
          <w:rFonts w:hint="eastAsia" w:ascii="宋体" w:hAnsi="宋体"/>
          <w:highlight w:val="none"/>
        </w:rPr>
        <w:t>（一）投资范围</w:t>
      </w:r>
    </w:p>
    <w:p w14:paraId="0E11D8C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主要投资于目标ETF、标的指数即中证金融科技主题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府支持债券、可转换债券（含可分离交易可转债券）、可交换债券、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14:paraId="0FF5379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本基金可根据法律法规的规定参与融资及转融通证券出借业务。如法律法规或监管机构以后允许基金投资其他品种，基金管理人在履行适当程序后，可以将其纳入投资范围。</w:t>
      </w:r>
    </w:p>
    <w:p w14:paraId="15A6984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本基金投资于目标ETF的资产比例不低于基金资产净值的90%，且不低于非现金基金资产的80%；每个交易日日终在扣除国债期货、股指期货和股票期权合约需缴纳的交易保证金后，对现金或者到期日在一年以内的政府债券的投资比例不低于基金资产净值的5%，其中，现金不包括结算备付金、存出保证金、应收申购款等。国债期货、股指期货、股票期权及其他金融工具的投资比例依照法律法规或监管机构的规定执行。</w:t>
      </w:r>
    </w:p>
    <w:p w14:paraId="23909D3B">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若法律法规的相关规定发生变更或监管机构允许，本基金管理人在履行适当程序后，可对上述资产配置比例进行调整。</w:t>
      </w:r>
    </w:p>
    <w:p w14:paraId="38C31094">
      <w:pPr>
        <w:adjustRightInd w:val="0"/>
        <w:snapToGrid w:val="0"/>
        <w:spacing w:line="360" w:lineRule="auto"/>
        <w:ind w:firstLine="420" w:firstLineChars="200"/>
        <w:rPr>
          <w:rFonts w:ascii="宋体" w:hAnsi="宋体"/>
          <w:highlight w:val="none"/>
        </w:rPr>
      </w:pPr>
      <w:r>
        <w:rPr>
          <w:rFonts w:hint="eastAsia" w:ascii="宋体" w:hAnsi="宋体"/>
          <w:highlight w:val="none"/>
        </w:rPr>
        <w:t>（二）投资限制</w:t>
      </w:r>
    </w:p>
    <w:p w14:paraId="3546FFC8">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、基金投资组合比例限制</w:t>
      </w:r>
    </w:p>
    <w:p w14:paraId="218DFF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（1）本基金投资于目标ETF的资产比例不低于基金资产净值的90%，且不低于非现金基金资产的80%；</w:t>
      </w:r>
    </w:p>
    <w:p w14:paraId="669977E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14:paraId="6E32F85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（3）本基金投资于同一原始权益人的各类资产支持证券的比例，不得超过基金资产净值的10％；</w:t>
      </w:r>
    </w:p>
    <w:p w14:paraId="3D67789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（4）本基金持有的全部资产支持证券，其市值不得超过基金资产净值的20％；</w:t>
      </w:r>
    </w:p>
    <w:p w14:paraId="684999D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（5）本基金持有的同一(指同一信用级别)资产支持证券的比例，不得超过该资产支持证券规模的10％；</w:t>
      </w:r>
    </w:p>
    <w:p w14:paraId="75EA0C1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（6）本基金管理人管理的全部基金投资于同一原始权益人的各类资产支持证券，不得超过其各类资产支持证券合计规模的10％；</w:t>
      </w:r>
    </w:p>
    <w:p w14:paraId="5DD6524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（7）本基金应投资于信用级别评级为BBB以上(含BBB)的资产支持证券。基金持有资产支持证券期间，如果其信用等级下降、不再符合投资标准，应在评级报告发布之日起3个月内予以全部卖出；</w:t>
      </w:r>
    </w:p>
    <w:p w14:paraId="6E47EA5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（8）基金财产参与股票发行申购，本基金所申报的金额不超过本基金的总资产，本基金所申报的股票数量不超过拟发行股票公司本次发行股票的总量；</w:t>
      </w:r>
    </w:p>
    <w:p w14:paraId="6442336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（9）本基金参与股指期货和国债期货交易的，应遵循下列限制：</w:t>
      </w:r>
    </w:p>
    <w:p w14:paraId="7A53855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1）本基金在任何交易日日终，持有的买入股指期货合约价值，不得超过基金资产净值的10%；</w:t>
      </w:r>
    </w:p>
    <w:p w14:paraId="0992B89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14:paraId="43778BD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3）本基金在任何交易日日终，持有的卖出股指期货合约价值不得超过基金持有的股票总市值的20%；</w:t>
      </w:r>
    </w:p>
    <w:p w14:paraId="40E64C7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4）本基金在任何交易日内交易（不包括平仓）的股指期货合约的成交金额不得超过上一交易日基金资产净值的20%；</w:t>
      </w:r>
    </w:p>
    <w:p w14:paraId="3CAF000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5）本基金所持有的股票市值和买入、卖出股指期货合约价值，合计（轧差计算）应当符合本基金合同关于股票投资比例的有关规定；</w:t>
      </w:r>
    </w:p>
    <w:p w14:paraId="26E2A85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6）本基金在任何交易日日终，持有的买入国债期货合约价值，不得超过基金资产净值的15%；</w:t>
      </w:r>
    </w:p>
    <w:p w14:paraId="33D1B25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7）本基金在任何交易日日终，持有的卖出国债期货合约价值不得超过基金持有的债券总市值的30%；</w:t>
      </w:r>
    </w:p>
    <w:p w14:paraId="2EACE016">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8）本基金在任何交易日内交易（不包括平仓）的国债期货合约的成交金额不得超过上一交易日基金资产净值的30%；</w:t>
      </w:r>
    </w:p>
    <w:p w14:paraId="20CA472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9）本基金所持有的债券（不含到期日在一年以内的政府债券）市值和买入、卖出国债期货合约价值，合计（轧差计算）应当符合基金合同关于债券投资比例的有关约定；</w:t>
      </w:r>
    </w:p>
    <w:p w14:paraId="373F6E3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（10）本基金参与股票期权交易的，需遵守下列规定：</w:t>
      </w:r>
    </w:p>
    <w:p w14:paraId="7B9A772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1）因未平仓的股票期权合约支付和收取的权利金总额不得超过基金资产净值的10%；</w:t>
      </w:r>
    </w:p>
    <w:p w14:paraId="5E103A7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2）开仓卖出认购股票期权的，应持有足额标的证券；开仓卖出认沽股票期权的，应持有合约行权所需的全额现金或交易所规则认可的可冲抵股票期权保证金的现金等价物；</w:t>
      </w:r>
    </w:p>
    <w:p w14:paraId="28C502E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3）未平仓的股票期权合约面值不得超过基金资产净值的 20%。其中，合约面值按照行权价乘以合约乘数计算；</w:t>
      </w:r>
    </w:p>
    <w:p w14:paraId="06DD395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（11）本基金参与转融通证券出借交易的，需遵守下列规定：</w:t>
      </w:r>
    </w:p>
    <w:p w14:paraId="3669296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 xml:space="preserve">1）出借证券资产不得超过基金资产净值的 30%，出借期限在10个交易日以上的出借证券应纳入《流动性风险管理规定》所述流动性受限证券的范围； </w:t>
      </w:r>
    </w:p>
    <w:p w14:paraId="4227941F">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2）参与出借业务的单只证券不得超过基金持有该证券总量的50%；</w:t>
      </w:r>
    </w:p>
    <w:p w14:paraId="0176752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3）最近6个月内日均基金资产净值不得低于2亿元；</w:t>
      </w:r>
    </w:p>
    <w:p w14:paraId="0CAB26C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4）证券出借的平均剩余期限不得超过30天，平均剩余期限按照市值加权平均计算；</w:t>
      </w:r>
    </w:p>
    <w:p w14:paraId="6A51350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5）因证券市场波动、证券发行人合并、基金规模变动等基金管理人之外的因素致使基金投资不符合上述规定的，基金管理人不得新增出借业务；</w:t>
      </w:r>
    </w:p>
    <w:p w14:paraId="7D3F28D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12）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D8E1A2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（13）本基金与私募类证券资管产品及中国证监会认定的其他主体为交易对手开展逆回购交易的，可接受质押品的资质要求应当与本基金合同约定的投资范围保持一致；</w:t>
      </w:r>
    </w:p>
    <w:p w14:paraId="42496F85">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（14）本基金资产总值不超过基金资产净值的140%；</w:t>
      </w:r>
    </w:p>
    <w:p w14:paraId="54AE329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（15）本基金参与融资的，每个交易日日终，本基金持有的融资买入股票与其他有价证券市值之和，不得超过基金资产净值的95%；</w:t>
      </w:r>
    </w:p>
    <w:p w14:paraId="28C30E9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（16）本基金投资存托凭证的比例限制依照境内上市交易的股票执行；</w:t>
      </w:r>
    </w:p>
    <w:p w14:paraId="29EAC4B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（17）法律法规及中国证监会规定的和《基金合同》约定的其他投资限制。</w:t>
      </w:r>
    </w:p>
    <w:p w14:paraId="2A6660B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除上述（1）、（2）、（7）、（11）、（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14:paraId="6E44A93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w:t>
      </w:r>
    </w:p>
    <w:p w14:paraId="7644D94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如果法律法规对基金合同约定投资组合比例限制进行变更的，以变更后的规定为准。法律法规或监管部门取消上述限制，如适用于本基金，在履行适当程序后，则本基金投资不再受相关限制。</w:t>
      </w:r>
    </w:p>
    <w:p w14:paraId="110BD3F0">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、禁止行为</w:t>
      </w:r>
    </w:p>
    <w:p w14:paraId="4BE7F14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为维护基金份额持有人的合法权益，基金财产不得用于下列投资或者活动：</w:t>
      </w:r>
    </w:p>
    <w:p w14:paraId="714DE369">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1）承销证券；</w:t>
      </w:r>
    </w:p>
    <w:p w14:paraId="0F527B8B">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违反规定向他人贷款或者提供担保；</w:t>
      </w:r>
    </w:p>
    <w:p w14:paraId="2F80BFF1">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3）从事承担无限责任的投资；</w:t>
      </w:r>
    </w:p>
    <w:p w14:paraId="21D0421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4）买卖</w:t>
      </w:r>
      <w:r>
        <w:rPr>
          <w:rFonts w:hint="eastAsia" w:asciiTheme="minorEastAsia" w:hAnsiTheme="minorEastAsia" w:eastAsiaTheme="minorEastAsia"/>
          <w:highlight w:val="none"/>
        </w:rPr>
        <w:t>除目标</w:t>
      </w:r>
      <w:r>
        <w:rPr>
          <w:rFonts w:asciiTheme="minorEastAsia" w:hAnsiTheme="minorEastAsia" w:eastAsiaTheme="minorEastAsia"/>
          <w:highlight w:val="none"/>
        </w:rPr>
        <w:t>ETF外的其他基金份额，但是</w:t>
      </w:r>
      <w:r>
        <w:rPr>
          <w:rFonts w:hint="eastAsia" w:asciiTheme="minorEastAsia" w:hAnsiTheme="minorEastAsia" w:eastAsiaTheme="minorEastAsia"/>
          <w:highlight w:val="none"/>
        </w:rPr>
        <w:t>中国证监会另有规定的除外；</w:t>
      </w:r>
    </w:p>
    <w:p w14:paraId="7A5D028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5）向</w:t>
      </w:r>
      <w:r>
        <w:rPr>
          <w:rFonts w:hint="eastAsia" w:asciiTheme="minorEastAsia" w:hAnsiTheme="minorEastAsia" w:eastAsiaTheme="minorEastAsia"/>
          <w:highlight w:val="none"/>
        </w:rPr>
        <w:t>其</w:t>
      </w:r>
      <w:r>
        <w:rPr>
          <w:rFonts w:asciiTheme="minorEastAsia" w:hAnsiTheme="minorEastAsia" w:eastAsiaTheme="minorEastAsia"/>
          <w:highlight w:val="none"/>
        </w:rPr>
        <w:t>基金管理人、基金托管人出资</w:t>
      </w:r>
      <w:r>
        <w:rPr>
          <w:rFonts w:hint="eastAsia" w:asciiTheme="minorEastAsia" w:hAnsiTheme="minorEastAsia" w:eastAsiaTheme="minorEastAsia"/>
          <w:highlight w:val="none"/>
        </w:rPr>
        <w:t>；</w:t>
      </w:r>
    </w:p>
    <w:p w14:paraId="04B1B8BA">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）从事内幕交易、操纵证券交易价格及其他不正当的证券交易活动；</w:t>
      </w:r>
    </w:p>
    <w:p w14:paraId="72E1726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）法律、行政法规和中国证监会规定禁止的其他活动。</w:t>
      </w:r>
    </w:p>
    <w:p w14:paraId="0DF651CD">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F18408">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法律、行政法规或监管部门取消或变更上述限制，如适用于本基金，在履行适当程序后，则本基金投资不再受相关限制或按变更后的规定执行。</w:t>
      </w:r>
    </w:p>
    <w:p w14:paraId="459C6E0A">
      <w:pPr>
        <w:adjustRightInd w:val="0"/>
        <w:snapToGrid w:val="0"/>
        <w:spacing w:line="360" w:lineRule="auto"/>
        <w:ind w:firstLine="420" w:firstLineChars="200"/>
        <w:rPr>
          <w:rFonts w:ascii="宋体" w:hAnsi="宋体"/>
          <w:highlight w:val="none"/>
        </w:rPr>
      </w:pPr>
      <w:r>
        <w:rPr>
          <w:rFonts w:hint="eastAsia" w:ascii="宋体" w:hAnsi="宋体"/>
          <w:highlight w:val="none"/>
        </w:rPr>
        <w:t>六、基金资产净值的计算方法和公告方式</w:t>
      </w:r>
    </w:p>
    <w:p w14:paraId="44535014">
      <w:pPr>
        <w:adjustRightInd w:val="0"/>
        <w:snapToGrid w:val="0"/>
        <w:spacing w:line="360" w:lineRule="auto"/>
        <w:ind w:firstLine="420" w:firstLineChars="200"/>
        <w:rPr>
          <w:rFonts w:ascii="宋体" w:hAnsi="宋体"/>
          <w:highlight w:val="none"/>
        </w:rPr>
      </w:pPr>
      <w:r>
        <w:rPr>
          <w:rFonts w:hint="eastAsia" w:ascii="宋体" w:hAnsi="宋体"/>
          <w:highlight w:val="none"/>
        </w:rPr>
        <w:t>（一）基金资产净值的计算方式</w:t>
      </w:r>
    </w:p>
    <w:p w14:paraId="75A45EDF">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基金资产净值是指基金资产总值减去基金负债后的价值。</w:t>
      </w:r>
    </w:p>
    <w:p w14:paraId="567B26FD">
      <w:pPr>
        <w:adjustRightInd w:val="0"/>
        <w:snapToGrid w:val="0"/>
        <w:spacing w:line="360" w:lineRule="auto"/>
        <w:ind w:firstLine="420" w:firstLineChars="200"/>
        <w:rPr>
          <w:rFonts w:ascii="宋体" w:hAnsi="宋体"/>
          <w:highlight w:val="none"/>
        </w:rPr>
      </w:pPr>
      <w:r>
        <w:rPr>
          <w:rFonts w:hint="eastAsia" w:ascii="宋体" w:hAnsi="宋体"/>
          <w:highlight w:val="none"/>
        </w:rPr>
        <w:t>（二）估值对象</w:t>
      </w:r>
    </w:p>
    <w:p w14:paraId="4320EBB7">
      <w:pPr>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基金所拥有的目标ETF基金份额、股票（含存托凭证）、债券、股指期货合约、国债期货合约、股票期权合约和银行存款本息、应收款项、资产支持证券、其它投资等资产及负债。</w:t>
      </w:r>
    </w:p>
    <w:p w14:paraId="6F465D0F">
      <w:pPr>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三</w:t>
      </w:r>
      <w:r>
        <w:rPr>
          <w:rFonts w:ascii="宋体" w:hAnsi="宋体"/>
          <w:highlight w:val="none"/>
        </w:rPr>
        <w:t>）</w:t>
      </w:r>
      <w:r>
        <w:rPr>
          <w:rFonts w:hint="eastAsia" w:ascii="宋体" w:hAnsi="宋体"/>
          <w:highlight w:val="none"/>
        </w:rPr>
        <w:t>估值方法</w:t>
      </w:r>
    </w:p>
    <w:p w14:paraId="02A441D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1、本基金持有的目标ETF基金份额以其当日基金份额净值估值，当日无基金份额净值的，以最近工作日的基金份额净值估值。</w:t>
      </w:r>
    </w:p>
    <w:p w14:paraId="4B8AD80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6801B0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3、对于已上市或已挂牌转让的不含权固定收益品种，选取估值日第三方估值基准服务机构提供的相应品种当日的估值全价进行估值。</w:t>
      </w:r>
    </w:p>
    <w:p w14:paraId="580A2FD7">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4、对于已上市或已挂牌转让的含权固定收益品种，选取估值日第三方估值基准服务机构提供的相应品种当日的唯一估值全价或推荐估值全价进行估值。</w:t>
      </w:r>
    </w:p>
    <w:p w14:paraId="26094D6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551502E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9B988E8">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6、对于未上市或未挂牌转让且不存在活跃市场的固定收益品种，应采用在当前情况下适用并且有足够可利用数据和其他信息支持的估值技术确定其公允价值。</w:t>
      </w:r>
    </w:p>
    <w:p w14:paraId="5849BD8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7、处于未上市期间的股票应区分如下情况处理：</w:t>
      </w:r>
    </w:p>
    <w:p w14:paraId="7567885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（1）送股、转增股、配股和公开增发的新股，按估值日在证券交易所挂牌的同一股票的估值方法估值；该日无交易的，以最近一日的市价（收盘价）估值；</w:t>
      </w:r>
    </w:p>
    <w:p w14:paraId="74A66CC3">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（2）首次公开发行未上市的股票，采用估值技术确定公允价值。</w:t>
      </w:r>
    </w:p>
    <w:p w14:paraId="1C0927D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5DDB6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8、同一证券同时在两个或两个以上市场交易的，按证券所处的市场分别估值。</w:t>
      </w:r>
    </w:p>
    <w:p w14:paraId="4F3230BB">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9、本基金参与股指期货合约、国债期货合约交易，一般以估值当日结算价进行估值，估值当日无结算价的，且最近交易日后经济环境未发生重大变化的，采用最近交易日结算价估值。</w:t>
      </w:r>
    </w:p>
    <w:p w14:paraId="7C5F618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10、本基金投资股票期权，根据相关法律法规以及监管部门的规定估值。</w:t>
      </w:r>
    </w:p>
    <w:p w14:paraId="1BAB6BCE">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11、本基金参与融资及转融通证券出借业务的，应参照行业协会的相关规定进行估值，确保估值的公允性。</w:t>
      </w:r>
    </w:p>
    <w:p w14:paraId="579ADD7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12、本基金投资存托凭证的估值核算，依照境内上市交易的股票执行。</w:t>
      </w:r>
    </w:p>
    <w:p w14:paraId="32841656">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13、当发生大额申购或赎回情形时，基金管理人可以采用摆动定价机制，以确保基金估值的公平性。具体处理原则与操作规范遵循相关法律法规以及监管部门、自律规则的规定。</w:t>
      </w:r>
    </w:p>
    <w:p w14:paraId="700D384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14、如有确凿证据表明按上述方法进行估值不能客观反映其公允价值的，基金管理人可根据具体情况与基金托管人商定后，按最能反映公允价值的价格估值。</w:t>
      </w:r>
    </w:p>
    <w:p w14:paraId="719C7125">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15、相关法律法规以及监管部门有强制规定的，从其规定。如有新增事项，按国家最新规定估值。</w:t>
      </w:r>
    </w:p>
    <w:p w14:paraId="5C5C81E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14:paraId="5C1608C2">
      <w:pPr>
        <w:adjustRightInd w:val="0"/>
        <w:snapToGrid w:val="0"/>
        <w:spacing w:line="360" w:lineRule="auto"/>
        <w:ind w:firstLine="420" w:firstLineChars="200"/>
        <w:rPr>
          <w:rFonts w:ascii="宋体" w:hAnsi="宋体"/>
          <w:highlight w:val="none"/>
        </w:rPr>
      </w:pPr>
      <w:r>
        <w:rPr>
          <w:rFonts w:hint="eastAsia" w:ascii="宋体" w:hAnsi="宋体"/>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14:paraId="36789948">
      <w:pPr>
        <w:adjustRightInd w:val="0"/>
        <w:snapToGrid w:val="0"/>
        <w:spacing w:line="360" w:lineRule="auto"/>
        <w:ind w:firstLine="420" w:firstLineChars="200"/>
        <w:rPr>
          <w:rFonts w:ascii="宋体" w:hAnsi="宋体"/>
          <w:highlight w:val="none"/>
        </w:rPr>
      </w:pPr>
      <w:r>
        <w:rPr>
          <w:rFonts w:hint="eastAsia" w:ascii="宋体" w:hAnsi="宋体"/>
          <w:highlight w:val="none"/>
        </w:rPr>
        <w:t>（四）基金净值信息</w:t>
      </w:r>
    </w:p>
    <w:p w14:paraId="5311A189">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《基金合同》生效后，在开始办理基金份额申购或者赎回前，基金管理人应当至少每周在规定网站披露一次各类基金份额净值和各类基金份额累计净值。</w:t>
      </w:r>
    </w:p>
    <w:p w14:paraId="1012D80C">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在开始办理基金份额申购或者赎回后，基金管理人应当在不晚于每个开放日的次日，通过其规定网站、基金销售机构网站或营业网点披露开放日的各类基金份额净值和各类基金份额累计净值。</w:t>
      </w:r>
    </w:p>
    <w:p w14:paraId="00EFF874">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基金管理人应在不晚于半年度和年度最后一日的次日，在规定网站披露半年度和年度最后一日的各类基金份额净值和各类基金份额累计净值。</w:t>
      </w:r>
    </w:p>
    <w:p w14:paraId="7F6A7754">
      <w:pPr>
        <w:adjustRightInd w:val="0"/>
        <w:snapToGrid w:val="0"/>
        <w:spacing w:line="360" w:lineRule="auto"/>
        <w:ind w:firstLine="420" w:firstLineChars="200"/>
        <w:rPr>
          <w:rFonts w:ascii="宋体" w:hAnsi="宋体"/>
          <w:highlight w:val="none"/>
        </w:rPr>
      </w:pPr>
      <w:r>
        <w:rPr>
          <w:rFonts w:hint="eastAsia" w:ascii="宋体" w:hAnsi="宋体"/>
          <w:highlight w:val="none"/>
        </w:rPr>
        <w:t>七、</w:t>
      </w:r>
      <w:r>
        <w:rPr>
          <w:rFonts w:ascii="宋体" w:hAnsi="宋体"/>
          <w:highlight w:val="none"/>
        </w:rPr>
        <w:t>基金合同的变更、终止与基金财产的清算</w:t>
      </w:r>
    </w:p>
    <w:p w14:paraId="7333B059">
      <w:pPr>
        <w:adjustRightInd w:val="0"/>
        <w:snapToGrid w:val="0"/>
        <w:spacing w:line="360" w:lineRule="auto"/>
        <w:ind w:firstLine="420" w:firstLineChars="200"/>
        <w:rPr>
          <w:rFonts w:ascii="宋体" w:hAnsi="宋体"/>
          <w:highlight w:val="none"/>
        </w:rPr>
      </w:pPr>
      <w:r>
        <w:rPr>
          <w:rFonts w:hint="eastAsia" w:ascii="宋体" w:hAnsi="宋体"/>
          <w:highlight w:val="none"/>
        </w:rPr>
        <w:t>（一）《基金合同》的变更</w:t>
      </w:r>
    </w:p>
    <w:p w14:paraId="7C75B74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14:paraId="7218FAFC">
      <w:pPr>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、关于《基金合同》变更的基金份额持有人大会决议自生效后方可执行，并自决议生效后按规定在规定媒介公告。</w:t>
      </w:r>
    </w:p>
    <w:p w14:paraId="7E7C5576">
      <w:pPr>
        <w:adjustRightInd w:val="0"/>
        <w:snapToGrid w:val="0"/>
        <w:spacing w:line="360" w:lineRule="auto"/>
        <w:ind w:firstLine="420" w:firstLineChars="200"/>
        <w:rPr>
          <w:rFonts w:ascii="宋体" w:hAnsi="宋体"/>
          <w:highlight w:val="none"/>
        </w:rPr>
      </w:pPr>
      <w:r>
        <w:rPr>
          <w:rFonts w:hint="eastAsia" w:ascii="宋体" w:hAnsi="宋体"/>
          <w:highlight w:val="none"/>
        </w:rPr>
        <w:t>（二）《基金合同》的终止事由</w:t>
      </w:r>
    </w:p>
    <w:p w14:paraId="0D8DC5A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有下列情形之一的，经履行相关程序后，《基金合同》应当终止：</w:t>
      </w:r>
    </w:p>
    <w:p w14:paraId="60FA080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、基金份额持有人大会决定终止的；</w:t>
      </w:r>
    </w:p>
    <w:p w14:paraId="23F21BA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、基金管理人、基金托管人职责终止，在</w:t>
      </w:r>
      <w:r>
        <w:rPr>
          <w:rFonts w:asciiTheme="minorEastAsia" w:hAnsiTheme="minorEastAsia" w:eastAsiaTheme="minorEastAsia"/>
          <w:highlight w:val="none"/>
        </w:rPr>
        <w:t>6</w:t>
      </w:r>
      <w:r>
        <w:rPr>
          <w:rFonts w:hint="eastAsia" w:asciiTheme="minorEastAsia" w:hAnsiTheme="minorEastAsia" w:eastAsiaTheme="minorEastAsia"/>
          <w:highlight w:val="none"/>
        </w:rPr>
        <w:t>个月内没有新基金管理人、新基金托管人承接的；</w:t>
      </w:r>
    </w:p>
    <w:p w14:paraId="2790C9EC">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3、《基金合同》约定的其他情形；</w:t>
      </w:r>
    </w:p>
    <w:p w14:paraId="38FBDB23">
      <w:pPr>
        <w:adjustRightInd w:val="0"/>
        <w:snapToGrid w:val="0"/>
        <w:spacing w:line="360" w:lineRule="auto"/>
        <w:ind w:firstLine="420" w:firstLineChars="200"/>
        <w:rPr>
          <w:rFonts w:ascii="宋体" w:hAnsi="宋体"/>
          <w:highlight w:val="none"/>
        </w:rPr>
      </w:pPr>
      <w:r>
        <w:rPr>
          <w:rFonts w:asciiTheme="minorEastAsia" w:hAnsiTheme="minorEastAsia" w:eastAsiaTheme="minorEastAsia"/>
          <w:highlight w:val="none"/>
        </w:rPr>
        <w:t>4、相关法律法规和中国证监会规定的其他情况。</w:t>
      </w:r>
    </w:p>
    <w:p w14:paraId="6FDA99F1">
      <w:pPr>
        <w:adjustRightInd w:val="0"/>
        <w:snapToGrid w:val="0"/>
        <w:spacing w:line="360" w:lineRule="auto"/>
        <w:ind w:firstLine="420" w:firstLineChars="200"/>
        <w:rPr>
          <w:rFonts w:ascii="宋体" w:hAnsi="宋体"/>
          <w:highlight w:val="none"/>
        </w:rPr>
      </w:pPr>
      <w:r>
        <w:rPr>
          <w:rFonts w:hint="eastAsia" w:ascii="宋体" w:hAnsi="宋体"/>
          <w:highlight w:val="none"/>
        </w:rPr>
        <w:t>（三）基金财产的清算</w:t>
      </w:r>
    </w:p>
    <w:p w14:paraId="3607D866">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、基金财产清算小组：自出现《基金合同》终止事由之日起</w:t>
      </w:r>
      <w:r>
        <w:rPr>
          <w:rFonts w:asciiTheme="minorEastAsia" w:hAnsiTheme="minorEastAsia" w:eastAsiaTheme="minorEastAsia"/>
          <w:highlight w:val="none"/>
        </w:rPr>
        <w:t>30</w:t>
      </w:r>
      <w:r>
        <w:rPr>
          <w:rFonts w:hint="eastAsia" w:asciiTheme="minorEastAsia" w:hAnsiTheme="minorEastAsia" w:eastAsiaTheme="minorEastAsia"/>
          <w:highlight w:val="none"/>
        </w:rPr>
        <w:t>个工作日内成立基金财产清算小组，基金管理人组织基金财产清算小组并在中国证监会的监督下进行基金清算。</w:t>
      </w:r>
    </w:p>
    <w:p w14:paraId="49A1524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、基金财产清算小组组成：基金财产清算小组成员由基金管理人、基金托管人、</w:t>
      </w:r>
      <w:r>
        <w:rPr>
          <w:rFonts w:hint="eastAsia" w:asciiTheme="minorEastAsia" w:hAnsiTheme="minorEastAsia" w:eastAsiaTheme="minorEastAsia"/>
          <w:bCs/>
          <w:highlight w:val="none"/>
        </w:rPr>
        <w:t>符合《中华人民共和国证券法》规定的</w:t>
      </w:r>
      <w:r>
        <w:rPr>
          <w:rFonts w:hint="eastAsia" w:asciiTheme="minorEastAsia" w:hAnsiTheme="minorEastAsia" w:eastAsiaTheme="minorEastAsia"/>
          <w:highlight w:val="none"/>
        </w:rPr>
        <w:t>注册会计师、律师以及中国证监会指定的人员组成。基金财产清算小组可以聘用必要的工作人员。</w:t>
      </w:r>
    </w:p>
    <w:p w14:paraId="0033B57D">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、基金财产清算小组职责：基金财产清算小组负责基金财产的保管、清理、估价、变现和分配。基金财产清算小组可以依法进行必要的民事活动。</w:t>
      </w:r>
    </w:p>
    <w:p w14:paraId="1B4B0A7B">
      <w:pPr>
        <w:adjustRightInd w:val="0"/>
        <w:snapToGrid w:val="0"/>
        <w:spacing w:line="360" w:lineRule="auto"/>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4</w:t>
      </w:r>
      <w:r>
        <w:rPr>
          <w:rFonts w:hint="eastAsia" w:asciiTheme="minorEastAsia" w:hAnsiTheme="minorEastAsia" w:eastAsiaTheme="minorEastAsia"/>
          <w:highlight w:val="none"/>
        </w:rPr>
        <w:t>、基金财产清算程序：</w:t>
      </w:r>
    </w:p>
    <w:p w14:paraId="129FEB0C">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）《基金合同》终止情形出现时，由基金财产清算小组统一接管基金；</w:t>
      </w:r>
    </w:p>
    <w:p w14:paraId="125A2A20">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2</w:t>
      </w:r>
      <w:r>
        <w:rPr>
          <w:rFonts w:hint="eastAsia" w:asciiTheme="minorEastAsia" w:hAnsiTheme="minorEastAsia" w:eastAsiaTheme="minorEastAsia"/>
          <w:highlight w:val="none"/>
        </w:rPr>
        <w:t>）对基金财产和债权债务进行清理和确认；</w:t>
      </w:r>
    </w:p>
    <w:p w14:paraId="562952D8">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3</w:t>
      </w:r>
      <w:r>
        <w:rPr>
          <w:rFonts w:hint="eastAsia" w:asciiTheme="minorEastAsia" w:hAnsiTheme="minorEastAsia" w:eastAsiaTheme="minorEastAsia"/>
          <w:highlight w:val="none"/>
        </w:rPr>
        <w:t>）对基金财产进行估值和变现；</w:t>
      </w:r>
    </w:p>
    <w:p w14:paraId="1205E034">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4</w:t>
      </w:r>
      <w:r>
        <w:rPr>
          <w:rFonts w:hint="eastAsia" w:asciiTheme="minorEastAsia" w:hAnsiTheme="minorEastAsia" w:eastAsiaTheme="minorEastAsia"/>
          <w:highlight w:val="none"/>
        </w:rPr>
        <w:t>）制作清算报告；</w:t>
      </w:r>
    </w:p>
    <w:p w14:paraId="1A403F02">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5</w:t>
      </w:r>
      <w:r>
        <w:rPr>
          <w:rFonts w:hint="eastAsia" w:asciiTheme="minorEastAsia" w:hAnsiTheme="minorEastAsia" w:eastAsiaTheme="minorEastAsia"/>
          <w:highlight w:val="none"/>
        </w:rPr>
        <w:t>）聘请会计师事务所对清算报告进行外部审计，聘请律师事务所对清算报告出具法律意见书；</w:t>
      </w:r>
    </w:p>
    <w:p w14:paraId="5C8A2133">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6</w:t>
      </w:r>
      <w:r>
        <w:rPr>
          <w:rFonts w:hint="eastAsia" w:asciiTheme="minorEastAsia" w:hAnsiTheme="minorEastAsia" w:eastAsiaTheme="minorEastAsia"/>
          <w:highlight w:val="none"/>
        </w:rPr>
        <w:t>）将清算报告报中国证监会备案并公告；</w:t>
      </w:r>
    </w:p>
    <w:p w14:paraId="10E35E9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7</w:t>
      </w:r>
      <w:r>
        <w:rPr>
          <w:rFonts w:hint="eastAsia" w:asciiTheme="minorEastAsia" w:hAnsiTheme="minorEastAsia" w:eastAsiaTheme="minorEastAsia"/>
          <w:highlight w:val="none"/>
        </w:rPr>
        <w:t>）对基金剩余财产进行分配。</w:t>
      </w:r>
    </w:p>
    <w:p w14:paraId="18992F41">
      <w:pPr>
        <w:adjustRightInd w:val="0"/>
        <w:snapToGrid w:val="0"/>
        <w:spacing w:line="360" w:lineRule="auto"/>
        <w:ind w:firstLine="420" w:firstLineChars="200"/>
        <w:rPr>
          <w:rFonts w:ascii="宋体" w:hAnsi="宋体"/>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、基金财产清算的期限为6个月，但因本基金所持证券的流动性受到限制而不能及时变现的，清算期限相应顺延。</w:t>
      </w:r>
    </w:p>
    <w:p w14:paraId="2E97C251">
      <w:pPr>
        <w:adjustRightInd w:val="0"/>
        <w:snapToGrid w:val="0"/>
        <w:spacing w:line="360" w:lineRule="auto"/>
        <w:ind w:firstLine="420" w:firstLineChars="200"/>
        <w:rPr>
          <w:rFonts w:ascii="宋体" w:hAnsi="宋体"/>
          <w:highlight w:val="none"/>
        </w:rPr>
      </w:pPr>
      <w:r>
        <w:rPr>
          <w:rFonts w:hint="eastAsia" w:ascii="宋体" w:hAnsi="宋体"/>
          <w:highlight w:val="none"/>
        </w:rPr>
        <w:t>（四）清算费用</w:t>
      </w:r>
    </w:p>
    <w:p w14:paraId="493DBB9F">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清算费用是指基金财产清算小组在进行基金财产清算过程中发生的所有合理费用，清算费用由基金财产清算小组优先从基金剩余财产中支付。</w:t>
      </w:r>
    </w:p>
    <w:p w14:paraId="5A870534">
      <w:pPr>
        <w:adjustRightInd w:val="0"/>
        <w:snapToGrid w:val="0"/>
        <w:spacing w:line="360" w:lineRule="auto"/>
        <w:ind w:firstLine="420" w:firstLineChars="200"/>
        <w:rPr>
          <w:rFonts w:ascii="宋体" w:hAnsi="宋体"/>
          <w:highlight w:val="none"/>
        </w:rPr>
      </w:pPr>
      <w:r>
        <w:rPr>
          <w:rFonts w:hint="eastAsia" w:ascii="宋体" w:hAnsi="宋体"/>
          <w:highlight w:val="none"/>
        </w:rPr>
        <w:t>（五）基金财产清算剩余资产的分配</w:t>
      </w:r>
    </w:p>
    <w:p w14:paraId="01B1A38C">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依据基金财产清算的分配方案，将基金财产清算后的全部剩余资产扣除基金财产清算费用、交纳所欠税款并清偿基金债务后，按基金份额持有人持有的基金份额比例进行分配。</w:t>
      </w:r>
    </w:p>
    <w:p w14:paraId="3E198C7F">
      <w:pPr>
        <w:adjustRightInd w:val="0"/>
        <w:snapToGrid w:val="0"/>
        <w:spacing w:line="360" w:lineRule="auto"/>
        <w:ind w:firstLine="420" w:firstLineChars="200"/>
        <w:rPr>
          <w:rFonts w:ascii="宋体" w:hAnsi="宋体"/>
          <w:highlight w:val="none"/>
        </w:rPr>
      </w:pPr>
      <w:r>
        <w:rPr>
          <w:rFonts w:hint="eastAsia" w:ascii="宋体" w:hAnsi="宋体"/>
          <w:highlight w:val="none"/>
        </w:rPr>
        <w:t>（六）基金财产清算的公告</w:t>
      </w:r>
    </w:p>
    <w:p w14:paraId="64DF6B0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清算过程中的有关重大事项须及时公告；基金财产清算报告经</w:t>
      </w:r>
      <w:r>
        <w:rPr>
          <w:rFonts w:hint="eastAsia" w:asciiTheme="minorEastAsia" w:hAnsiTheme="minorEastAsia" w:eastAsiaTheme="minorEastAsia"/>
          <w:bCs/>
          <w:highlight w:val="none"/>
        </w:rPr>
        <w:t>符合《中华人民共和国证券法》规定的</w:t>
      </w:r>
      <w:r>
        <w:rPr>
          <w:rFonts w:hint="eastAsia" w:asciiTheme="minorEastAsia" w:hAnsiTheme="minorEastAsia" w:eastAsiaTheme="minorEastAsia"/>
          <w:highlight w:val="none"/>
        </w:rPr>
        <w:t>会计师事务所审计并由律师事务所出具法律意见书后报中国证监会备案并公告。基金财产清算公告于基金财产清算报告报中国证监会备案后</w:t>
      </w:r>
      <w:r>
        <w:rPr>
          <w:rFonts w:asciiTheme="minorEastAsia" w:hAnsiTheme="minorEastAsia" w:eastAsiaTheme="minorEastAsia"/>
          <w:highlight w:val="none"/>
        </w:rPr>
        <w:t>5</w:t>
      </w:r>
      <w:r>
        <w:rPr>
          <w:rFonts w:hint="eastAsia" w:asciiTheme="minorEastAsia" w:hAnsiTheme="minorEastAsia" w:eastAsiaTheme="minorEastAsia"/>
          <w:highlight w:val="none"/>
        </w:rPr>
        <w:t>个工作日内由基金财产清算小组进行公告，基金财产清算小组应当将清算报告登载在规定网站上，并将清算报告提示性公告登载在规定报刊上。</w:t>
      </w:r>
    </w:p>
    <w:p w14:paraId="78576395">
      <w:pPr>
        <w:adjustRightInd w:val="0"/>
        <w:snapToGrid w:val="0"/>
        <w:spacing w:line="360" w:lineRule="auto"/>
        <w:ind w:firstLine="420" w:firstLineChars="200"/>
        <w:rPr>
          <w:rFonts w:ascii="宋体" w:hAnsi="宋体"/>
          <w:highlight w:val="none"/>
        </w:rPr>
      </w:pPr>
      <w:r>
        <w:rPr>
          <w:rFonts w:hint="eastAsia" w:ascii="宋体" w:hAnsi="宋体"/>
          <w:highlight w:val="none"/>
        </w:rPr>
        <w:t>（七）基金财产清算账册及文件的保存</w:t>
      </w:r>
    </w:p>
    <w:p w14:paraId="6809D329">
      <w:pPr>
        <w:adjustRightInd w:val="0"/>
        <w:snapToGrid w:val="0"/>
        <w:spacing w:line="360" w:lineRule="auto"/>
        <w:ind w:firstLine="420" w:firstLineChars="200"/>
        <w:rPr>
          <w:rFonts w:ascii="宋体" w:hAnsi="宋体"/>
          <w:highlight w:val="none"/>
        </w:rPr>
      </w:pPr>
      <w:r>
        <w:rPr>
          <w:rFonts w:hint="eastAsia" w:asciiTheme="minorEastAsia" w:hAnsiTheme="minorEastAsia" w:eastAsiaTheme="minorEastAsia"/>
          <w:highlight w:val="none"/>
        </w:rPr>
        <w:t>基金财产清算账册及有关文件由基金托管人保存，保存期限不低于</w:t>
      </w:r>
      <w:r>
        <w:rPr>
          <w:rFonts w:asciiTheme="minorEastAsia" w:hAnsiTheme="minorEastAsia" w:eastAsiaTheme="minorEastAsia"/>
          <w:highlight w:val="none"/>
        </w:rPr>
        <w:t>法律法规规定的最低期限</w:t>
      </w:r>
      <w:r>
        <w:rPr>
          <w:rFonts w:hint="eastAsia" w:asciiTheme="minorEastAsia" w:hAnsiTheme="minorEastAsia" w:eastAsiaTheme="minorEastAsia"/>
          <w:highlight w:val="none"/>
        </w:rPr>
        <w:t>。</w:t>
      </w:r>
    </w:p>
    <w:p w14:paraId="7AF69AAD">
      <w:pPr>
        <w:adjustRightInd w:val="0"/>
        <w:snapToGrid w:val="0"/>
        <w:spacing w:line="360" w:lineRule="auto"/>
        <w:ind w:firstLine="420" w:firstLineChars="200"/>
        <w:rPr>
          <w:rFonts w:ascii="宋体" w:hAnsi="宋体"/>
          <w:highlight w:val="none"/>
        </w:rPr>
      </w:pPr>
      <w:r>
        <w:rPr>
          <w:rFonts w:hint="eastAsia" w:ascii="宋体" w:hAnsi="宋体"/>
          <w:highlight w:val="none"/>
        </w:rPr>
        <w:t>八、争议的处理和适用的法律</w:t>
      </w:r>
    </w:p>
    <w:p w14:paraId="20ED246C">
      <w:pPr>
        <w:adjustRightInd w:val="0"/>
        <w:snapToGrid w:val="0"/>
        <w:spacing w:line="360" w:lineRule="auto"/>
        <w:ind w:firstLine="422" w:firstLineChars="200"/>
        <w:rPr>
          <w:rFonts w:asciiTheme="minorEastAsia" w:hAnsiTheme="minorEastAsia" w:eastAsiaTheme="minorEastAsia"/>
          <w:b/>
          <w:bCs/>
          <w:i/>
          <w:iCs/>
          <w:highlight w:val="none"/>
        </w:rPr>
      </w:pPr>
      <w:r>
        <w:rPr>
          <w:rFonts w:hint="eastAsia" w:asciiTheme="minorEastAsia" w:hAnsiTheme="minorEastAsia" w:eastAsiaTheme="minorEastAsia"/>
          <w:b/>
          <w:bCs/>
          <w:i/>
          <w:iCs/>
          <w:highlight w:val="none"/>
        </w:rPr>
        <w:t>各方当事人同意，因《基金合同》而产生的或与《基金合同》有关的一切争议，如经友好协商、调解未能解决的，</w:t>
      </w:r>
      <w:r>
        <w:rPr>
          <w:rFonts w:hint="eastAsia" w:asciiTheme="minorEastAsia" w:hAnsiTheme="minorEastAsia" w:eastAsiaTheme="minorEastAsia"/>
          <w:b/>
          <w:bCs/>
          <w:i/>
          <w:iCs/>
          <w:highlight w:val="none"/>
          <w:lang w:val="en-US" w:eastAsia="zh-CN"/>
        </w:rPr>
        <w:t>任何一方均有权</w:t>
      </w:r>
      <w:r>
        <w:rPr>
          <w:rFonts w:hint="eastAsia" w:asciiTheme="minorEastAsia" w:hAnsiTheme="minorEastAsia" w:eastAsiaTheme="minorEastAsia"/>
          <w:b/>
          <w:bCs/>
          <w:i/>
          <w:iCs/>
          <w:highlight w:val="none"/>
        </w:rPr>
        <w:t>将争议提交中国国际经济贸易仲裁委员会，按照中国国际经济贸易仲裁委员会届时有效的仲裁规则进行仲裁。仲裁地点为北京市。仲裁裁决是终局的，对各方当事人均有约束力。除裁决另有规定的，仲裁费用由败诉方承担。</w:t>
      </w:r>
    </w:p>
    <w:p w14:paraId="39A4F938">
      <w:pPr>
        <w:adjustRightInd w:val="0"/>
        <w:snapToGrid w:val="0"/>
        <w:spacing w:line="360" w:lineRule="auto"/>
        <w:ind w:firstLine="422" w:firstLineChars="200"/>
        <w:rPr>
          <w:rFonts w:asciiTheme="minorEastAsia" w:hAnsiTheme="minorEastAsia" w:eastAsiaTheme="minorEastAsia"/>
          <w:b/>
          <w:bCs/>
          <w:i/>
          <w:iCs/>
          <w:highlight w:val="none"/>
        </w:rPr>
      </w:pPr>
      <w:r>
        <w:rPr>
          <w:rFonts w:hint="eastAsia" w:asciiTheme="minorEastAsia" w:hAnsiTheme="minorEastAsia" w:eastAsiaTheme="minorEastAsia"/>
          <w:b/>
          <w:bCs/>
          <w:i/>
          <w:iCs/>
          <w:highlight w:val="none"/>
        </w:rPr>
        <w:t>争议处理期间，基金管理人、基金托管人应恪守基金管理人和基金托管人的职责，各自继续忠实、勤勉、尽责地履行基金合同和托管协议规定的义务，维护基金份额持有人的合法权益。</w:t>
      </w:r>
    </w:p>
    <w:p w14:paraId="28BAFD84">
      <w:pPr>
        <w:adjustRightInd w:val="0"/>
        <w:snapToGrid w:val="0"/>
        <w:spacing w:line="360" w:lineRule="auto"/>
        <w:ind w:firstLine="422" w:firstLineChars="200"/>
        <w:rPr>
          <w:rFonts w:ascii="宋体" w:hAnsi="宋体"/>
          <w:highlight w:val="none"/>
        </w:rPr>
      </w:pPr>
      <w:r>
        <w:rPr>
          <w:rFonts w:hint="eastAsia" w:asciiTheme="minorEastAsia" w:hAnsiTheme="minorEastAsia" w:eastAsiaTheme="minorEastAsia"/>
          <w:b/>
          <w:bCs/>
          <w:i/>
          <w:iCs/>
          <w:highlight w:val="none"/>
        </w:rPr>
        <w:t>本基金合同受中国法律（为本基金合同之目的，在此不包括香港、澳门特别行政区和台湾地区法律）管辖。</w:t>
      </w:r>
    </w:p>
    <w:p w14:paraId="12FDC4A3">
      <w:pPr>
        <w:adjustRightInd w:val="0"/>
        <w:snapToGrid w:val="0"/>
        <w:spacing w:line="360" w:lineRule="auto"/>
        <w:ind w:firstLine="420" w:firstLineChars="200"/>
        <w:rPr>
          <w:rFonts w:ascii="宋体" w:hAnsi="宋体"/>
          <w:highlight w:val="none"/>
        </w:rPr>
      </w:pPr>
      <w:r>
        <w:rPr>
          <w:rFonts w:hint="eastAsia" w:ascii="宋体" w:hAnsi="宋体"/>
          <w:highlight w:val="none"/>
        </w:rPr>
        <w:t>九、基金合同存放地和投资者取得合同的方式</w:t>
      </w:r>
    </w:p>
    <w:p w14:paraId="5B7CEF46">
      <w:pPr>
        <w:adjustRightInd w:val="0"/>
        <w:snapToGrid w:val="0"/>
        <w:spacing w:line="360" w:lineRule="auto"/>
        <w:ind w:firstLine="420" w:firstLineChars="200"/>
        <w:rPr>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基金合同</w:t>
      </w:r>
      <w:r>
        <w:rPr>
          <w:rFonts w:hint="eastAsia" w:asciiTheme="minorEastAsia" w:hAnsiTheme="minorEastAsia" w:eastAsiaTheme="minorEastAsia"/>
          <w:highlight w:val="none"/>
        </w:rPr>
        <w:t>》可印制成册，供</w:t>
      </w:r>
      <w:r>
        <w:rPr>
          <w:rFonts w:asciiTheme="minorEastAsia" w:hAnsiTheme="minorEastAsia" w:eastAsiaTheme="minorEastAsia"/>
          <w:highlight w:val="none"/>
        </w:rPr>
        <w:t>投资人</w:t>
      </w:r>
      <w:r>
        <w:rPr>
          <w:rFonts w:hint="eastAsia" w:asciiTheme="minorEastAsia" w:hAnsiTheme="minorEastAsia" w:eastAsiaTheme="minorEastAsia"/>
          <w:highlight w:val="none"/>
        </w:rPr>
        <w:t>在基金管理人、基金托管人、销售机构的办公场所和营业场所查阅。</w:t>
      </w:r>
      <w:bookmarkEnd w:id="72"/>
      <w:bookmarkEnd w:id="73"/>
      <w:bookmarkEnd w:id="533"/>
      <w:bookmarkEnd w:id="534"/>
      <w:bookmarkEnd w:id="536"/>
    </w:p>
    <w:sectPr>
      <w:headerReference r:id="rId29" w:type="default"/>
      <w:footerReference r:id="rId3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EA4AF">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BE17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3BE17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D936">
    <w:pPr>
      <w:pStyle w:val="23"/>
      <w:jc w:val="center"/>
      <w:rPr>
        <w:rFonts w:ascii="Arial" w:hAnsi="Arial" w:cs="Arial"/>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ED49C">
                          <w:pPr>
                            <w:pStyle w:val="23"/>
                            <w:jc w:val="center"/>
                          </w:pPr>
                          <w:r>
                            <w:rPr>
                              <w:rFonts w:hint="eastAsia" w:ascii="Arial" w:hAnsi="Arial" w:cs="Arial"/>
                            </w:rPr>
                            <w:t>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65ED49C">
                    <w:pPr>
                      <w:pStyle w:val="23"/>
                      <w:jc w:val="center"/>
                    </w:pPr>
                    <w:r>
                      <w:rPr>
                        <w:rFonts w:hint="eastAsia" w:ascii="Arial" w:hAnsi="Arial" w:cs="Arial"/>
                      </w:rPr>
                      <w:t>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B5D3">
    <w:pPr>
      <w:pStyle w:val="23"/>
      <w:jc w:val="center"/>
      <w:rPr>
        <w:rFonts w:ascii="Arial" w:hAnsi="Arial" w:cs="Arial"/>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4D953">
                          <w:pPr>
                            <w:pStyle w:val="23"/>
                            <w:jc w:val="center"/>
                          </w:pPr>
                          <w:r>
                            <w:rPr>
                              <w:rFonts w:hint="eastAsia" w:ascii="Arial" w:hAnsi="Arial" w:cs="Arial"/>
                            </w:rPr>
                            <w:t>10-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294D953">
                    <w:pPr>
                      <w:pStyle w:val="23"/>
                      <w:jc w:val="center"/>
                    </w:pPr>
                    <w:r>
                      <w:rPr>
                        <w:rFonts w:hint="eastAsia" w:ascii="Arial" w:hAnsi="Arial" w:cs="Arial"/>
                      </w:rPr>
                      <w:t>10-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4F4A">
    <w:pPr>
      <w:pStyle w:val="23"/>
      <w:jc w:val="center"/>
      <w:rPr>
        <w:rFonts w:ascii="Arial" w:hAnsi="Arial" w:cs="Arial"/>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A2D75">
                          <w:pPr>
                            <w:pStyle w:val="23"/>
                            <w:jc w:val="center"/>
                          </w:pPr>
                          <w:r>
                            <w:rPr>
                              <w:rFonts w:hint="eastAsia" w:ascii="Arial" w:hAnsi="Arial" w:cs="Arial"/>
                            </w:rPr>
                            <w:t>11-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DA2D75">
                    <w:pPr>
                      <w:pStyle w:val="23"/>
                      <w:jc w:val="center"/>
                    </w:pPr>
                    <w:r>
                      <w:rPr>
                        <w:rFonts w:hint="eastAsia" w:ascii="Arial" w:hAnsi="Arial" w:cs="Arial"/>
                      </w:rPr>
                      <w:t>11-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814D">
    <w:pPr>
      <w:pStyle w:val="23"/>
      <w:jc w:val="center"/>
      <w:rPr>
        <w:rFonts w:ascii="Arial" w:hAnsi="Arial" w:cs="Arial"/>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D17E3">
                          <w:pPr>
                            <w:pStyle w:val="23"/>
                            <w:jc w:val="center"/>
                          </w:pPr>
                          <w:r>
                            <w:rPr>
                              <w:rFonts w:hint="eastAsia" w:ascii="Arial" w:hAnsi="Arial" w:cs="Arial"/>
                            </w:rPr>
                            <w:t>12-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E4D17E3">
                    <w:pPr>
                      <w:pStyle w:val="23"/>
                      <w:jc w:val="center"/>
                    </w:pPr>
                    <w:r>
                      <w:rPr>
                        <w:rFonts w:hint="eastAsia" w:ascii="Arial" w:hAnsi="Arial" w:cs="Arial"/>
                      </w:rPr>
                      <w:t>12-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9F15">
    <w:pPr>
      <w:pStyle w:val="23"/>
      <w:jc w:val="center"/>
      <w:rPr>
        <w:rFonts w:ascii="Arial" w:hAnsi="Arial" w:cs="Arial"/>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9D4E9">
                          <w:pPr>
                            <w:pStyle w:val="23"/>
                            <w:jc w:val="center"/>
                          </w:pPr>
                          <w:r>
                            <w:rPr>
                              <w:rFonts w:hint="eastAsia" w:ascii="Arial" w:hAnsi="Arial" w:cs="Arial"/>
                            </w:rPr>
                            <w:t>13-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229D4E9">
                    <w:pPr>
                      <w:pStyle w:val="23"/>
                      <w:jc w:val="center"/>
                    </w:pPr>
                    <w:r>
                      <w:rPr>
                        <w:rFonts w:hint="eastAsia" w:ascii="Arial" w:hAnsi="Arial" w:cs="Arial"/>
                      </w:rPr>
                      <w:t>13-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AF56">
    <w:pPr>
      <w:pStyle w:val="23"/>
      <w:jc w:val="center"/>
      <w:rPr>
        <w:rFonts w:ascii="Arial" w:hAnsi="Arial"/>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DD00">
                          <w:pPr>
                            <w:pStyle w:val="23"/>
                            <w:jc w:val="center"/>
                          </w:pPr>
                          <w:r>
                            <w:rPr>
                              <w:rFonts w:hint="eastAsia" w:ascii="Arial" w:hAnsi="Arial" w:cs="Arial"/>
                            </w:rPr>
                            <w:t>14-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B64DD00">
                    <w:pPr>
                      <w:pStyle w:val="23"/>
                      <w:jc w:val="center"/>
                    </w:pPr>
                    <w:r>
                      <w:rPr>
                        <w:rFonts w:hint="eastAsia" w:ascii="Arial" w:hAnsi="Arial" w:cs="Arial"/>
                      </w:rPr>
                      <w:t>14-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9F43">
    <w:pPr>
      <w:pStyle w:val="23"/>
      <w:jc w:val="center"/>
      <w:rPr>
        <w:rFonts w:ascii="Arial" w:hAnsi="Arial" w:cs="Arial"/>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744E1">
                          <w:pPr>
                            <w:pStyle w:val="23"/>
                            <w:jc w:val="center"/>
                          </w:pPr>
                          <w:r>
                            <w:rPr>
                              <w:rFonts w:hint="eastAsia" w:ascii="Arial" w:hAnsi="Arial" w:cs="Arial"/>
                            </w:rPr>
                            <w:t>15-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56744E1">
                    <w:pPr>
                      <w:pStyle w:val="23"/>
                      <w:jc w:val="center"/>
                    </w:pPr>
                    <w:r>
                      <w:rPr>
                        <w:rFonts w:hint="eastAsia" w:ascii="Arial" w:hAnsi="Arial" w:cs="Arial"/>
                      </w:rPr>
                      <w:t>15-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66D1">
    <w:pPr>
      <w:pStyle w:val="23"/>
      <w:jc w:val="center"/>
      <w:rPr>
        <w:rFonts w:ascii="Arial" w:hAnsi="Arial" w:cs="Arial"/>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E5D3B">
                          <w:pPr>
                            <w:pStyle w:val="23"/>
                            <w:jc w:val="center"/>
                          </w:pPr>
                          <w:r>
                            <w:rPr>
                              <w:rFonts w:hint="eastAsia" w:ascii="Arial" w:hAnsi="Arial" w:cs="Arial"/>
                            </w:rPr>
                            <w:t>16-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8FE5D3B">
                    <w:pPr>
                      <w:pStyle w:val="23"/>
                      <w:jc w:val="center"/>
                    </w:pPr>
                    <w:r>
                      <w:rPr>
                        <w:rFonts w:hint="eastAsia" w:ascii="Arial" w:hAnsi="Arial" w:cs="Arial"/>
                      </w:rPr>
                      <w:t>16-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43E7">
    <w:pPr>
      <w:pStyle w:val="23"/>
      <w:jc w:val="center"/>
      <w:rPr>
        <w:rFonts w:ascii="Arial" w:hAnsi="Arial" w:cs="Arial"/>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E2931">
                          <w:pPr>
                            <w:pStyle w:val="23"/>
                            <w:jc w:val="center"/>
                          </w:pPr>
                          <w:r>
                            <w:rPr>
                              <w:rFonts w:hint="eastAsia" w:ascii="Arial" w:hAnsi="Arial" w:cs="Arial"/>
                            </w:rPr>
                            <w:t>17-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21E2931">
                    <w:pPr>
                      <w:pStyle w:val="23"/>
                      <w:jc w:val="center"/>
                    </w:pPr>
                    <w:r>
                      <w:rPr>
                        <w:rFonts w:hint="eastAsia" w:ascii="Arial" w:hAnsi="Arial" w:cs="Arial"/>
                      </w:rPr>
                      <w:t>17-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8E47">
    <w:pPr>
      <w:pStyle w:val="23"/>
      <w:jc w:val="center"/>
      <w:rPr>
        <w:rFonts w:ascii="Arial" w:hAnsi="Arial" w:cs="Arial"/>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7ECBA">
                          <w:pPr>
                            <w:pStyle w:val="23"/>
                            <w:jc w:val="center"/>
                          </w:pPr>
                          <w:r>
                            <w:rPr>
                              <w:rFonts w:hint="eastAsia" w:ascii="Arial" w:hAnsi="Arial" w:cs="Arial"/>
                            </w:rPr>
                            <w:t>18-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CB7ECBA">
                    <w:pPr>
                      <w:pStyle w:val="23"/>
                      <w:jc w:val="center"/>
                    </w:pPr>
                    <w:r>
                      <w:rPr>
                        <w:rFonts w:hint="eastAsia" w:ascii="Arial" w:hAnsi="Arial" w:cs="Arial"/>
                      </w:rPr>
                      <w:t>18-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14AFD">
    <w:pPr>
      <w:pStyle w:val="23"/>
      <w:jc w:val="center"/>
      <w:rPr>
        <w:rFonts w:ascii="Arial" w:hAnsi="Arial" w:cs="Arial"/>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41748">
                          <w:pPr>
                            <w:pStyle w:val="23"/>
                            <w:jc w:val="center"/>
                          </w:pPr>
                          <w:r>
                            <w:rPr>
                              <w:rFonts w:hint="eastAsia" w:ascii="Arial" w:hAnsi="Arial" w:cs="Arial"/>
                            </w:rPr>
                            <w:t>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F41748">
                    <w:pPr>
                      <w:pStyle w:val="23"/>
                      <w:jc w:val="center"/>
                    </w:pPr>
                    <w:r>
                      <w:rPr>
                        <w:rFonts w:hint="eastAsia" w:ascii="Arial" w:hAnsi="Arial" w:cs="Arial"/>
                      </w:rPr>
                      <w:t>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AA21">
    <w:pPr>
      <w:pStyle w:val="23"/>
      <w:jc w:val="center"/>
      <w:rPr>
        <w:rFonts w:ascii="Arial" w:hAnsi="Arial" w:cs="Arial"/>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173CC">
                          <w:pPr>
                            <w:pStyle w:val="23"/>
                            <w:jc w:val="center"/>
                          </w:pPr>
                          <w:r>
                            <w:rPr>
                              <w:rFonts w:hint="eastAsia" w:ascii="Arial" w:hAnsi="Arial" w:cs="Arial"/>
                            </w:rPr>
                            <w:t>19-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321173CC">
                    <w:pPr>
                      <w:pStyle w:val="23"/>
                      <w:jc w:val="center"/>
                    </w:pPr>
                    <w:r>
                      <w:rPr>
                        <w:rFonts w:hint="eastAsia" w:ascii="Arial" w:hAnsi="Arial" w:cs="Arial"/>
                      </w:rPr>
                      <w:t>19-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D492">
    <w:pPr>
      <w:pStyle w:val="23"/>
      <w:jc w:val="center"/>
      <w:rPr>
        <w:rFonts w:ascii="Arial" w:hAnsi="Arial" w:cs="Arial"/>
      </w:rP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0A53B">
                          <w:pPr>
                            <w:pStyle w:val="23"/>
                            <w:jc w:val="center"/>
                          </w:pPr>
                          <w:r>
                            <w:rPr>
                              <w:rFonts w:hint="eastAsia" w:ascii="Arial" w:hAnsi="Arial" w:cs="Arial"/>
                            </w:rPr>
                            <w:t>20-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230A53B">
                    <w:pPr>
                      <w:pStyle w:val="23"/>
                      <w:jc w:val="center"/>
                    </w:pPr>
                    <w:r>
                      <w:rPr>
                        <w:rFonts w:hint="eastAsia" w:ascii="Arial" w:hAnsi="Arial" w:cs="Arial"/>
                      </w:rPr>
                      <w:t>20-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6C94">
    <w:pPr>
      <w:pStyle w:val="23"/>
      <w:jc w:val="center"/>
      <w:rPr>
        <w:rFonts w:ascii="Arial" w:hAnsi="Arial" w:cs="Arial"/>
      </w:rP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ABFBD">
                          <w:pPr>
                            <w:pStyle w:val="23"/>
                            <w:jc w:val="center"/>
                          </w:pPr>
                          <w:r>
                            <w:rPr>
                              <w:rFonts w:hint="eastAsia" w:ascii="Arial" w:hAnsi="Arial" w:cs="Arial"/>
                            </w:rPr>
                            <w:t>21-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6CABFBD">
                    <w:pPr>
                      <w:pStyle w:val="23"/>
                      <w:jc w:val="center"/>
                    </w:pPr>
                    <w:r>
                      <w:rPr>
                        <w:rFonts w:hint="eastAsia" w:ascii="Arial" w:hAnsi="Arial" w:cs="Arial"/>
                      </w:rPr>
                      <w:t>21-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F578">
    <w:pPr>
      <w:pStyle w:val="23"/>
      <w:jc w:val="center"/>
      <w:rPr>
        <w:rFonts w:ascii="Arial" w:hAnsi="Arial" w:cs="Arial"/>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26375">
                          <w:pPr>
                            <w:pStyle w:val="23"/>
                            <w:jc w:val="center"/>
                          </w:pPr>
                          <w:r>
                            <w:rPr>
                              <w:rFonts w:hint="eastAsia" w:ascii="Arial" w:hAnsi="Arial" w:cs="Arial"/>
                            </w:rPr>
                            <w:t>22-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77D26375">
                    <w:pPr>
                      <w:pStyle w:val="23"/>
                      <w:jc w:val="center"/>
                    </w:pPr>
                    <w:r>
                      <w:rPr>
                        <w:rFonts w:hint="eastAsia" w:ascii="Arial" w:hAnsi="Arial" w:cs="Arial"/>
                      </w:rPr>
                      <w:t>22-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8EAA">
    <w:pPr>
      <w:pStyle w:val="23"/>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183FC">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051183FC">
                    <w:pPr>
                      <w:pStyle w:val="23"/>
                    </w:pPr>
                  </w:p>
                </w:txbxContent>
              </v:textbox>
            </v:shape>
          </w:pict>
        </mc:Fallback>
      </mc:AlternateContent>
    </w:r>
    <w:r>
      <w:rPr>
        <w:rFonts w:hint="eastAsia"/>
      </w:rPr>
      <w:t>23-1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DDEC">
    <w:pPr>
      <w:pStyle w:val="23"/>
      <w:jc w:val="cente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CFE4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63FCFE40"/>
                </w:txbxContent>
              </v:textbox>
            </v:shape>
          </w:pict>
        </mc:Fallback>
      </mc:AlternateContent>
    </w:r>
    <w:r>
      <w:rPr>
        <w:rFonts w:hint="eastAsia"/>
      </w:rPr>
      <w:t>24-23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7E39">
    <w:pPr>
      <w:pStyle w:val="23"/>
      <w:jc w:val="center"/>
      <w:rPr>
        <w:rFonts w:ascii="Arial" w:hAnsi="Arial" w:cs="Arial"/>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33FB">
                          <w:pPr>
                            <w:pStyle w:val="23"/>
                            <w:jc w:val="center"/>
                          </w:pPr>
                          <w:r>
                            <w:rPr>
                              <w:rFonts w:hint="eastAsia" w:ascii="Arial" w:hAnsi="Arial" w:cs="Arial"/>
                            </w:rPr>
                            <w:t>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5</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E33FB">
                    <w:pPr>
                      <w:pStyle w:val="23"/>
                      <w:jc w:val="center"/>
                    </w:pPr>
                    <w:r>
                      <w:rPr>
                        <w:rFonts w:hint="eastAsia" w:ascii="Arial" w:hAnsi="Arial" w:cs="Arial"/>
                      </w:rPr>
                      <w:t>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5</w:t>
                    </w:r>
                    <w:r>
                      <w:rPr>
                        <w:rFonts w:ascii="Arial" w:hAnsi="Arial" w:cs="Arial"/>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3CAE">
    <w:pPr>
      <w:pStyle w:val="23"/>
      <w:jc w:val="center"/>
      <w:rPr>
        <w:rFonts w:ascii="Arial" w:hAnsi="Arial" w:cs="Arial"/>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BCA4A">
                          <w:pPr>
                            <w:pStyle w:val="23"/>
                            <w:jc w:val="center"/>
                          </w:pPr>
                          <w:r>
                            <w:rPr>
                              <w:rFonts w:hint="eastAsia" w:ascii="Arial" w:hAnsi="Arial" w:cs="Arial"/>
                            </w:rPr>
                            <w:t>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76BCA4A">
                    <w:pPr>
                      <w:pStyle w:val="23"/>
                      <w:jc w:val="center"/>
                    </w:pPr>
                    <w:r>
                      <w:rPr>
                        <w:rFonts w:hint="eastAsia" w:ascii="Arial" w:hAnsi="Arial" w:cs="Arial"/>
                      </w:rPr>
                      <w:t>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3DCD">
    <w:pPr>
      <w:pStyle w:val="23"/>
      <w:jc w:val="center"/>
      <w:rPr>
        <w:rFonts w:ascii="Arial" w:hAnsi="Arial" w:cs="Arial"/>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3B0DA">
                          <w:pPr>
                            <w:pStyle w:val="23"/>
                            <w:jc w:val="center"/>
                          </w:pPr>
                          <w:r>
                            <w:rPr>
                              <w:rFonts w:hint="eastAsia" w:ascii="Arial" w:hAnsi="Arial" w:cs="Arial"/>
                            </w:rPr>
                            <w:t>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B3B0DA">
                    <w:pPr>
                      <w:pStyle w:val="23"/>
                      <w:jc w:val="center"/>
                    </w:pPr>
                    <w:r>
                      <w:rPr>
                        <w:rFonts w:hint="eastAsia" w:ascii="Arial" w:hAnsi="Arial" w:cs="Arial"/>
                      </w:rPr>
                      <w:t>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51B0">
    <w:pPr>
      <w:pStyle w:val="23"/>
      <w:jc w:val="center"/>
      <w:rPr>
        <w:rFonts w:ascii="Arial" w:hAnsi="Arial" w:cs="Arial"/>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C4D1">
                          <w:pPr>
                            <w:pStyle w:val="23"/>
                            <w:jc w:val="center"/>
                          </w:pPr>
                          <w:r>
                            <w:rPr>
                              <w:rFonts w:hint="eastAsia" w:ascii="Arial" w:hAnsi="Arial" w:cs="Arial"/>
                            </w:rPr>
                            <w:t>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75AC4D1">
                    <w:pPr>
                      <w:pStyle w:val="23"/>
                      <w:jc w:val="center"/>
                    </w:pPr>
                    <w:r>
                      <w:rPr>
                        <w:rFonts w:hint="eastAsia" w:ascii="Arial" w:hAnsi="Arial" w:cs="Arial"/>
                      </w:rPr>
                      <w:t>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56F5">
    <w:pPr>
      <w:pStyle w:val="23"/>
      <w:jc w:val="center"/>
      <w:rPr>
        <w:rFonts w:ascii="Arial" w:hAnsi="Arial" w:cs="Arial"/>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00E94">
                          <w:pPr>
                            <w:pStyle w:val="23"/>
                            <w:jc w:val="center"/>
                          </w:pPr>
                          <w:r>
                            <w:rPr>
                              <w:rFonts w:hint="eastAsia" w:ascii="Arial" w:hAnsi="Arial" w:cs="Arial"/>
                            </w:rPr>
                            <w:t>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7</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200E94">
                    <w:pPr>
                      <w:pStyle w:val="23"/>
                      <w:jc w:val="center"/>
                    </w:pPr>
                    <w:r>
                      <w:rPr>
                        <w:rFonts w:hint="eastAsia" w:ascii="Arial" w:hAnsi="Arial" w:cs="Arial"/>
                      </w:rPr>
                      <w:t>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7</w:t>
                    </w:r>
                    <w:r>
                      <w:rPr>
                        <w:rFonts w:ascii="Arial" w:hAnsi="Arial" w:cs="Arial"/>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849B0">
    <w:pPr>
      <w:pStyle w:val="23"/>
      <w:jc w:val="center"/>
      <w:rPr>
        <w:rFonts w:ascii="Arial" w:hAnsi="Arial" w:cs="Arial"/>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E2CE3">
                          <w:pPr>
                            <w:pStyle w:val="23"/>
                            <w:jc w:val="center"/>
                          </w:pPr>
                          <w:r>
                            <w:rPr>
                              <w:rFonts w:hint="eastAsia" w:ascii="Arial" w:hAnsi="Arial" w:cs="Arial"/>
                            </w:rPr>
                            <w:t>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88E2CE3">
                    <w:pPr>
                      <w:pStyle w:val="23"/>
                      <w:jc w:val="center"/>
                    </w:pPr>
                    <w:r>
                      <w:rPr>
                        <w:rFonts w:hint="eastAsia" w:ascii="Arial" w:hAnsi="Arial" w:cs="Arial"/>
                      </w:rPr>
                      <w:t>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8C60">
    <w:pPr>
      <w:pStyle w:val="23"/>
      <w:jc w:val="center"/>
      <w:rPr>
        <w:rFonts w:ascii="Arial" w:hAnsi="Arial" w:cs="Arial"/>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2E405">
                          <w:pPr>
                            <w:pStyle w:val="23"/>
                            <w:jc w:val="center"/>
                          </w:pPr>
                          <w:r>
                            <w:rPr>
                              <w:rFonts w:hint="eastAsia" w:ascii="Arial" w:hAnsi="Arial" w:cs="Arial"/>
                            </w:rPr>
                            <w:t>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8</w:t>
                          </w:r>
                          <w:r>
                            <w:rPr>
                              <w:rFonts w:ascii="Arial" w:hAnsi="Arial" w:cs="Ari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362E405">
                    <w:pPr>
                      <w:pStyle w:val="23"/>
                      <w:jc w:val="center"/>
                    </w:pPr>
                    <w:r>
                      <w:rPr>
                        <w:rFonts w:hint="eastAsia" w:ascii="Arial" w:hAnsi="Arial" w:cs="Arial"/>
                      </w:rPr>
                      <w:t>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8</w:t>
                    </w:r>
                    <w:r>
                      <w:rPr>
                        <w:rFonts w:ascii="Arial" w:hAnsi="Arial" w:cs="Aria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21F5E">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51DE">
    <w:pPr>
      <w:pStyle w:val="24"/>
      <w:pBdr>
        <w:bottom w:val="thickThinLargeGap" w:color="auto" w:sz="24" w:space="10"/>
      </w:pBdr>
      <w:tabs>
        <w:tab w:val="right" w:pos="8280"/>
      </w:tabs>
      <w:wordWrap w:val="0"/>
      <w:adjustRightInd w:val="0"/>
      <w:jc w:val="right"/>
    </w:pPr>
    <w:r>
      <w:rPr>
        <w:rFonts w:hint="eastAsia"/>
        <w:color w:val="000000"/>
      </w:rPr>
      <w:t>博时中证金融科技主题交易型开放式指数证券投资基金联接基金</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9257">
    <w:pPr>
      <w:pStyle w:val="24"/>
      <w:pBdr>
        <w:bottom w:val="thickThinLargeGap" w:color="auto" w:sz="24" w:space="10"/>
      </w:pBdr>
      <w:tabs>
        <w:tab w:val="right" w:pos="8280"/>
      </w:tabs>
      <w:wordWrap w:val="0"/>
      <w:adjustRightInd w:val="0"/>
      <w:jc w:val="right"/>
    </w:pPr>
    <w:r>
      <w:rPr>
        <w:rFonts w:hint="eastAsia"/>
        <w:color w:val="000000"/>
      </w:rPr>
      <w:t>博时中证金融科技主题交易型开放式指数证券投资基金联接基金</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09E1"/>
    <w:multiLevelType w:val="multilevel"/>
    <w:tmpl w:val="0D4A09E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25376E8"/>
    <w:multiLevelType w:val="multilevel"/>
    <w:tmpl w:val="525376E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C185EF5"/>
    <w:multiLevelType w:val="multilevel"/>
    <w:tmpl w:val="5C185EF5"/>
    <w:lvl w:ilvl="0" w:tentative="0">
      <w:start w:val="1"/>
      <w:numFmt w:val="none"/>
      <w:suff w:val="nothing"/>
      <w:lvlText w:val=""/>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chineseCountingThousand"/>
      <w:pStyle w:val="5"/>
      <w:suff w:val="nothing"/>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6FE147B6"/>
    <w:multiLevelType w:val="singleLevel"/>
    <w:tmpl w:val="6FE147B6"/>
    <w:lvl w:ilvl="0" w:tentative="0">
      <w:start w:val="1"/>
      <w:numFmt w:val="decimal"/>
      <w:pStyle w:val="57"/>
      <w:lvlText w:val="(%1)"/>
      <w:lvlJc w:val="left"/>
      <w:pPr>
        <w:tabs>
          <w:tab w:val="left" w:pos="360"/>
        </w:tabs>
        <w:ind w:left="0" w:firstLine="0"/>
      </w:pPr>
      <w:rPr>
        <w:rFonts w:hint="eastAsia"/>
      </w:rPr>
    </w:lvl>
  </w:abstractNum>
  <w:abstractNum w:abstractNumId="4">
    <w:nsid w:val="73E27915"/>
    <w:multiLevelType w:val="multilevel"/>
    <w:tmpl w:val="73E27915"/>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2NlYzNkOGFiZDg2ZDQyNDgyMjAyMTRlZjJjYzQifQ=="/>
    <w:docVar w:name="KSO_WPS_MARK_KEY" w:val="223a3123-b5ec-4cab-9b3e-eca4b028da6c"/>
  </w:docVars>
  <w:rsids>
    <w:rsidRoot w:val="06190780"/>
    <w:rsid w:val="00017858"/>
    <w:rsid w:val="00025DCE"/>
    <w:rsid w:val="0003389A"/>
    <w:rsid w:val="00040201"/>
    <w:rsid w:val="00051B32"/>
    <w:rsid w:val="00057E23"/>
    <w:rsid w:val="00065CB4"/>
    <w:rsid w:val="00095E02"/>
    <w:rsid w:val="00096C76"/>
    <w:rsid w:val="000A1B36"/>
    <w:rsid w:val="000C6E7A"/>
    <w:rsid w:val="000F1C38"/>
    <w:rsid w:val="000F384B"/>
    <w:rsid w:val="000F6AA8"/>
    <w:rsid w:val="000F6B30"/>
    <w:rsid w:val="00103599"/>
    <w:rsid w:val="00113DE6"/>
    <w:rsid w:val="00131AD3"/>
    <w:rsid w:val="00143453"/>
    <w:rsid w:val="0015159B"/>
    <w:rsid w:val="001549A7"/>
    <w:rsid w:val="00162966"/>
    <w:rsid w:val="00162DF6"/>
    <w:rsid w:val="001914B0"/>
    <w:rsid w:val="001B66D2"/>
    <w:rsid w:val="001B76AA"/>
    <w:rsid w:val="001D30D7"/>
    <w:rsid w:val="001D57C4"/>
    <w:rsid w:val="002150AD"/>
    <w:rsid w:val="00217933"/>
    <w:rsid w:val="0025457A"/>
    <w:rsid w:val="002754DB"/>
    <w:rsid w:val="00285EA2"/>
    <w:rsid w:val="00291EF3"/>
    <w:rsid w:val="002961F3"/>
    <w:rsid w:val="002A70E2"/>
    <w:rsid w:val="002D78D6"/>
    <w:rsid w:val="002E15A9"/>
    <w:rsid w:val="002E3F38"/>
    <w:rsid w:val="002E7FF1"/>
    <w:rsid w:val="002F7715"/>
    <w:rsid w:val="00305516"/>
    <w:rsid w:val="003114C8"/>
    <w:rsid w:val="003377EB"/>
    <w:rsid w:val="00342420"/>
    <w:rsid w:val="00351376"/>
    <w:rsid w:val="003635D1"/>
    <w:rsid w:val="003742CC"/>
    <w:rsid w:val="003855C3"/>
    <w:rsid w:val="00391404"/>
    <w:rsid w:val="0039194D"/>
    <w:rsid w:val="003C174A"/>
    <w:rsid w:val="003D2A35"/>
    <w:rsid w:val="003E400A"/>
    <w:rsid w:val="003F1792"/>
    <w:rsid w:val="00401BA2"/>
    <w:rsid w:val="00406529"/>
    <w:rsid w:val="0041695E"/>
    <w:rsid w:val="004575C4"/>
    <w:rsid w:val="00460CFF"/>
    <w:rsid w:val="0046272A"/>
    <w:rsid w:val="00465694"/>
    <w:rsid w:val="00491974"/>
    <w:rsid w:val="004B66EA"/>
    <w:rsid w:val="004D44F7"/>
    <w:rsid w:val="004E6830"/>
    <w:rsid w:val="004F2334"/>
    <w:rsid w:val="0050718E"/>
    <w:rsid w:val="0052672C"/>
    <w:rsid w:val="00550CC0"/>
    <w:rsid w:val="005601FF"/>
    <w:rsid w:val="005E1314"/>
    <w:rsid w:val="005F4D16"/>
    <w:rsid w:val="006075AE"/>
    <w:rsid w:val="006078D4"/>
    <w:rsid w:val="00614F93"/>
    <w:rsid w:val="0064579D"/>
    <w:rsid w:val="0065002F"/>
    <w:rsid w:val="00651CEC"/>
    <w:rsid w:val="006545A3"/>
    <w:rsid w:val="00657697"/>
    <w:rsid w:val="006627B3"/>
    <w:rsid w:val="0067668B"/>
    <w:rsid w:val="00683372"/>
    <w:rsid w:val="006870F3"/>
    <w:rsid w:val="006A3538"/>
    <w:rsid w:val="006A419C"/>
    <w:rsid w:val="006A5ED8"/>
    <w:rsid w:val="006C5D9F"/>
    <w:rsid w:val="006D04A0"/>
    <w:rsid w:val="006D0F40"/>
    <w:rsid w:val="006E61E5"/>
    <w:rsid w:val="00711B52"/>
    <w:rsid w:val="00732553"/>
    <w:rsid w:val="0075049E"/>
    <w:rsid w:val="00750BD1"/>
    <w:rsid w:val="007563BF"/>
    <w:rsid w:val="00756999"/>
    <w:rsid w:val="00756E0C"/>
    <w:rsid w:val="0079247F"/>
    <w:rsid w:val="007A77F2"/>
    <w:rsid w:val="007C095F"/>
    <w:rsid w:val="007D79B9"/>
    <w:rsid w:val="007F79AA"/>
    <w:rsid w:val="008000D3"/>
    <w:rsid w:val="00817FA1"/>
    <w:rsid w:val="0082031D"/>
    <w:rsid w:val="00834F39"/>
    <w:rsid w:val="00872DE2"/>
    <w:rsid w:val="00876D3C"/>
    <w:rsid w:val="00886F6C"/>
    <w:rsid w:val="008A4C71"/>
    <w:rsid w:val="008B3268"/>
    <w:rsid w:val="0091220B"/>
    <w:rsid w:val="009336F7"/>
    <w:rsid w:val="00955FD0"/>
    <w:rsid w:val="009946AE"/>
    <w:rsid w:val="009D5181"/>
    <w:rsid w:val="009E4403"/>
    <w:rsid w:val="009E5DD9"/>
    <w:rsid w:val="009E6FA9"/>
    <w:rsid w:val="009F144C"/>
    <w:rsid w:val="00A10BE3"/>
    <w:rsid w:val="00A145F8"/>
    <w:rsid w:val="00A152CE"/>
    <w:rsid w:val="00A15A69"/>
    <w:rsid w:val="00A172CC"/>
    <w:rsid w:val="00A212BB"/>
    <w:rsid w:val="00A44EA2"/>
    <w:rsid w:val="00A77024"/>
    <w:rsid w:val="00A91FFD"/>
    <w:rsid w:val="00AA5DF5"/>
    <w:rsid w:val="00AE0207"/>
    <w:rsid w:val="00AF1D3D"/>
    <w:rsid w:val="00AF5508"/>
    <w:rsid w:val="00B052DE"/>
    <w:rsid w:val="00B26085"/>
    <w:rsid w:val="00B47E8E"/>
    <w:rsid w:val="00B624AA"/>
    <w:rsid w:val="00B66B73"/>
    <w:rsid w:val="00BA19C0"/>
    <w:rsid w:val="00BA2CAA"/>
    <w:rsid w:val="00BA542D"/>
    <w:rsid w:val="00BD2FF9"/>
    <w:rsid w:val="00C15AB0"/>
    <w:rsid w:val="00C266AB"/>
    <w:rsid w:val="00C4283B"/>
    <w:rsid w:val="00C8726F"/>
    <w:rsid w:val="00CA0EDC"/>
    <w:rsid w:val="00CA3390"/>
    <w:rsid w:val="00CC5F51"/>
    <w:rsid w:val="00CC64EA"/>
    <w:rsid w:val="00CC7955"/>
    <w:rsid w:val="00CE7720"/>
    <w:rsid w:val="00D16DFB"/>
    <w:rsid w:val="00D26C2F"/>
    <w:rsid w:val="00D34EA4"/>
    <w:rsid w:val="00D37A78"/>
    <w:rsid w:val="00D534D5"/>
    <w:rsid w:val="00D76872"/>
    <w:rsid w:val="00D76B94"/>
    <w:rsid w:val="00D93A88"/>
    <w:rsid w:val="00D9543A"/>
    <w:rsid w:val="00DA1B1A"/>
    <w:rsid w:val="00DC4640"/>
    <w:rsid w:val="00DC5E84"/>
    <w:rsid w:val="00DD491C"/>
    <w:rsid w:val="00DD7276"/>
    <w:rsid w:val="00E149C5"/>
    <w:rsid w:val="00E17E34"/>
    <w:rsid w:val="00E575A4"/>
    <w:rsid w:val="00E8045F"/>
    <w:rsid w:val="00E8481E"/>
    <w:rsid w:val="00E85A82"/>
    <w:rsid w:val="00E86117"/>
    <w:rsid w:val="00E92C2B"/>
    <w:rsid w:val="00EA3261"/>
    <w:rsid w:val="00EA3B51"/>
    <w:rsid w:val="00EB1851"/>
    <w:rsid w:val="00EB6406"/>
    <w:rsid w:val="00EC1016"/>
    <w:rsid w:val="00EC2BB4"/>
    <w:rsid w:val="00ED5599"/>
    <w:rsid w:val="00F06AF4"/>
    <w:rsid w:val="00F125FB"/>
    <w:rsid w:val="00F16250"/>
    <w:rsid w:val="00F2244E"/>
    <w:rsid w:val="00F43A63"/>
    <w:rsid w:val="00F52127"/>
    <w:rsid w:val="00F536E3"/>
    <w:rsid w:val="00F71D93"/>
    <w:rsid w:val="00FC70EE"/>
    <w:rsid w:val="00FF1CCA"/>
    <w:rsid w:val="01511039"/>
    <w:rsid w:val="01A0523A"/>
    <w:rsid w:val="03704F07"/>
    <w:rsid w:val="03727851"/>
    <w:rsid w:val="05472C04"/>
    <w:rsid w:val="05611962"/>
    <w:rsid w:val="05AB26D7"/>
    <w:rsid w:val="05B24A66"/>
    <w:rsid w:val="05CC1AF9"/>
    <w:rsid w:val="05D931C1"/>
    <w:rsid w:val="06190780"/>
    <w:rsid w:val="06A35673"/>
    <w:rsid w:val="06E00816"/>
    <w:rsid w:val="06FD269B"/>
    <w:rsid w:val="08205AF0"/>
    <w:rsid w:val="0B5A78B0"/>
    <w:rsid w:val="0C425295"/>
    <w:rsid w:val="0E161275"/>
    <w:rsid w:val="0F8959B2"/>
    <w:rsid w:val="0FAF6D65"/>
    <w:rsid w:val="0FC12216"/>
    <w:rsid w:val="101F676E"/>
    <w:rsid w:val="111670F6"/>
    <w:rsid w:val="11524677"/>
    <w:rsid w:val="125A1136"/>
    <w:rsid w:val="12CC3DDF"/>
    <w:rsid w:val="130179CE"/>
    <w:rsid w:val="13383389"/>
    <w:rsid w:val="13F01048"/>
    <w:rsid w:val="14CE6B6D"/>
    <w:rsid w:val="156A378B"/>
    <w:rsid w:val="156C736A"/>
    <w:rsid w:val="16992920"/>
    <w:rsid w:val="16DC6A2A"/>
    <w:rsid w:val="17564724"/>
    <w:rsid w:val="176D3B9D"/>
    <w:rsid w:val="17BF7D78"/>
    <w:rsid w:val="18324A63"/>
    <w:rsid w:val="189863E9"/>
    <w:rsid w:val="18BB3338"/>
    <w:rsid w:val="1976655B"/>
    <w:rsid w:val="199545F1"/>
    <w:rsid w:val="1A3B0678"/>
    <w:rsid w:val="1A602177"/>
    <w:rsid w:val="1BF91AF2"/>
    <w:rsid w:val="1C8121B3"/>
    <w:rsid w:val="1D7761CD"/>
    <w:rsid w:val="1E01146E"/>
    <w:rsid w:val="1E3C0795"/>
    <w:rsid w:val="1E965C08"/>
    <w:rsid w:val="1EFD31F7"/>
    <w:rsid w:val="1F653168"/>
    <w:rsid w:val="1FEC7F5D"/>
    <w:rsid w:val="205645A1"/>
    <w:rsid w:val="206E7A43"/>
    <w:rsid w:val="21465528"/>
    <w:rsid w:val="219E39B8"/>
    <w:rsid w:val="21C61237"/>
    <w:rsid w:val="21C734F7"/>
    <w:rsid w:val="24810097"/>
    <w:rsid w:val="25515C04"/>
    <w:rsid w:val="25BD0B11"/>
    <w:rsid w:val="26E56F7C"/>
    <w:rsid w:val="27780E3D"/>
    <w:rsid w:val="28144869"/>
    <w:rsid w:val="29CB61A1"/>
    <w:rsid w:val="2CD77081"/>
    <w:rsid w:val="2F0D0E1E"/>
    <w:rsid w:val="2F3A6853"/>
    <w:rsid w:val="2F7A50F2"/>
    <w:rsid w:val="30C86099"/>
    <w:rsid w:val="31094CA8"/>
    <w:rsid w:val="317326BF"/>
    <w:rsid w:val="33266273"/>
    <w:rsid w:val="33CB28A2"/>
    <w:rsid w:val="377C6C91"/>
    <w:rsid w:val="3782338F"/>
    <w:rsid w:val="39D95DFF"/>
    <w:rsid w:val="3B745DFD"/>
    <w:rsid w:val="3C5411CB"/>
    <w:rsid w:val="3D021F88"/>
    <w:rsid w:val="3D1C7BDB"/>
    <w:rsid w:val="3DFC45F6"/>
    <w:rsid w:val="3E752508"/>
    <w:rsid w:val="3F7C5DEE"/>
    <w:rsid w:val="407B73E6"/>
    <w:rsid w:val="414A2F2A"/>
    <w:rsid w:val="418331C2"/>
    <w:rsid w:val="41D8365C"/>
    <w:rsid w:val="42382150"/>
    <w:rsid w:val="42490AF7"/>
    <w:rsid w:val="429F402B"/>
    <w:rsid w:val="436E2C30"/>
    <w:rsid w:val="43FC7A20"/>
    <w:rsid w:val="44144EF6"/>
    <w:rsid w:val="44A95DD0"/>
    <w:rsid w:val="455351C2"/>
    <w:rsid w:val="45932935"/>
    <w:rsid w:val="45997408"/>
    <w:rsid w:val="461C7016"/>
    <w:rsid w:val="4881199C"/>
    <w:rsid w:val="48CB2E09"/>
    <w:rsid w:val="48E14F2D"/>
    <w:rsid w:val="49501B2C"/>
    <w:rsid w:val="49BA0A50"/>
    <w:rsid w:val="4AFB44D0"/>
    <w:rsid w:val="4B411887"/>
    <w:rsid w:val="4C8743D6"/>
    <w:rsid w:val="4CF85560"/>
    <w:rsid w:val="4D711B1B"/>
    <w:rsid w:val="4F4A45A5"/>
    <w:rsid w:val="4FEE5732"/>
    <w:rsid w:val="50113893"/>
    <w:rsid w:val="503C21B5"/>
    <w:rsid w:val="50966143"/>
    <w:rsid w:val="515404FD"/>
    <w:rsid w:val="51E113E5"/>
    <w:rsid w:val="526B329E"/>
    <w:rsid w:val="52D70812"/>
    <w:rsid w:val="53466874"/>
    <w:rsid w:val="53630D86"/>
    <w:rsid w:val="54694D07"/>
    <w:rsid w:val="56C9412B"/>
    <w:rsid w:val="57503771"/>
    <w:rsid w:val="576E7AEC"/>
    <w:rsid w:val="585007E7"/>
    <w:rsid w:val="58584DF9"/>
    <w:rsid w:val="592A2ACC"/>
    <w:rsid w:val="5B7A5859"/>
    <w:rsid w:val="5B8333B8"/>
    <w:rsid w:val="5C13779B"/>
    <w:rsid w:val="5C2C4A54"/>
    <w:rsid w:val="5C2C597C"/>
    <w:rsid w:val="5C3D4752"/>
    <w:rsid w:val="5CBC6CF0"/>
    <w:rsid w:val="5D347BF4"/>
    <w:rsid w:val="5D5B3DC1"/>
    <w:rsid w:val="5E235F2C"/>
    <w:rsid w:val="5F900203"/>
    <w:rsid w:val="60B146B2"/>
    <w:rsid w:val="62886157"/>
    <w:rsid w:val="643C5459"/>
    <w:rsid w:val="64D9209D"/>
    <w:rsid w:val="65430D1E"/>
    <w:rsid w:val="654A3F49"/>
    <w:rsid w:val="65ED1810"/>
    <w:rsid w:val="66F419D2"/>
    <w:rsid w:val="674B6298"/>
    <w:rsid w:val="68A90CDC"/>
    <w:rsid w:val="68E96E57"/>
    <w:rsid w:val="692C3CCB"/>
    <w:rsid w:val="6C250BC5"/>
    <w:rsid w:val="6CC17CF8"/>
    <w:rsid w:val="6CD15B16"/>
    <w:rsid w:val="6CF41A96"/>
    <w:rsid w:val="6D2F29FB"/>
    <w:rsid w:val="6D396089"/>
    <w:rsid w:val="6D5D333E"/>
    <w:rsid w:val="6E5D7D37"/>
    <w:rsid w:val="6EB25FC5"/>
    <w:rsid w:val="6EDE2373"/>
    <w:rsid w:val="705E62A8"/>
    <w:rsid w:val="71A51E3B"/>
    <w:rsid w:val="71A81C56"/>
    <w:rsid w:val="71AF6E88"/>
    <w:rsid w:val="7493005F"/>
    <w:rsid w:val="74AB40F8"/>
    <w:rsid w:val="74E1518E"/>
    <w:rsid w:val="74EC7EC8"/>
    <w:rsid w:val="7512777E"/>
    <w:rsid w:val="75F05162"/>
    <w:rsid w:val="763D4907"/>
    <w:rsid w:val="767E1BCE"/>
    <w:rsid w:val="77951289"/>
    <w:rsid w:val="7A2F3F67"/>
    <w:rsid w:val="7A677018"/>
    <w:rsid w:val="7ACA5499"/>
    <w:rsid w:val="7AE76131"/>
    <w:rsid w:val="7B5325A2"/>
    <w:rsid w:val="7B690E6D"/>
    <w:rsid w:val="7BB305AF"/>
    <w:rsid w:val="7BF224CA"/>
    <w:rsid w:val="7D524796"/>
    <w:rsid w:val="7E330BDE"/>
    <w:rsid w:val="7E343D24"/>
    <w:rsid w:val="7E463754"/>
    <w:rsid w:val="7F075DA6"/>
    <w:rsid w:val="7F0F78AB"/>
    <w:rsid w:val="7F4B222D"/>
    <w:rsid w:val="7FD2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jc w:val="center"/>
      <w:outlineLvl w:val="0"/>
    </w:pPr>
    <w:rPr>
      <w:b/>
      <w:kern w:val="44"/>
      <w:sz w:val="28"/>
      <w:szCs w:val="20"/>
    </w:rPr>
  </w:style>
  <w:style w:type="paragraph" w:styleId="4">
    <w:name w:val="heading 2"/>
    <w:basedOn w:val="1"/>
    <w:next w:val="1"/>
    <w:link w:val="46"/>
    <w:qFormat/>
    <w:uiPriority w:val="0"/>
    <w:pPr>
      <w:keepNext/>
      <w:keepLines/>
      <w:numPr>
        <w:ilvl w:val="1"/>
        <w:numId w:val="1"/>
      </w:numPr>
      <w:spacing w:before="200" w:after="200" w:line="360" w:lineRule="auto"/>
      <w:outlineLvl w:val="1"/>
    </w:pPr>
    <w:rPr>
      <w:rFonts w:ascii="Arial" w:hAnsi="Arial"/>
      <w:b/>
      <w:sz w:val="24"/>
      <w:szCs w:val="20"/>
    </w:rPr>
  </w:style>
  <w:style w:type="paragraph" w:styleId="5">
    <w:name w:val="heading 3"/>
    <w:basedOn w:val="1"/>
    <w:next w:val="1"/>
    <w:link w:val="47"/>
    <w:qFormat/>
    <w:uiPriority w:val="0"/>
    <w:pPr>
      <w:numPr>
        <w:ilvl w:val="2"/>
        <w:numId w:val="1"/>
      </w:numPr>
      <w:spacing w:before="120" w:after="120" w:line="360" w:lineRule="auto"/>
      <w:outlineLvl w:val="2"/>
    </w:pPr>
    <w:rPr>
      <w:rFonts w:ascii="宋体"/>
      <w:b/>
      <w:szCs w:val="20"/>
    </w:rPr>
  </w:style>
  <w:style w:type="paragraph" w:styleId="6">
    <w:name w:val="heading 4"/>
    <w:basedOn w:val="1"/>
    <w:next w:val="1"/>
    <w:link w:val="48"/>
    <w:qFormat/>
    <w:uiPriority w:val="0"/>
    <w:pPr>
      <w:keepNext/>
      <w:keepLines/>
      <w:numPr>
        <w:ilvl w:val="3"/>
        <w:numId w:val="1"/>
      </w:numPr>
      <w:spacing w:line="360" w:lineRule="auto"/>
      <w:outlineLvl w:val="3"/>
    </w:pPr>
    <w:rPr>
      <w:rFonts w:ascii="Arial" w:hAnsi="Arial"/>
      <w:szCs w:val="20"/>
    </w:rPr>
  </w:style>
  <w:style w:type="paragraph" w:styleId="7">
    <w:name w:val="heading 5"/>
    <w:basedOn w:val="1"/>
    <w:next w:val="1"/>
    <w:link w:val="49"/>
    <w:qFormat/>
    <w:uiPriority w:val="0"/>
    <w:pPr>
      <w:keepNext/>
      <w:keepLines/>
      <w:numPr>
        <w:ilvl w:val="4"/>
        <w:numId w:val="1"/>
      </w:numPr>
      <w:adjustRightInd w:val="0"/>
      <w:snapToGrid w:val="0"/>
      <w:spacing w:line="360" w:lineRule="auto"/>
      <w:outlineLvl w:val="4"/>
    </w:pPr>
    <w:rPr>
      <w:szCs w:val="20"/>
    </w:rPr>
  </w:style>
  <w:style w:type="paragraph" w:styleId="8">
    <w:name w:val="heading 6"/>
    <w:basedOn w:val="1"/>
    <w:next w:val="1"/>
    <w:link w:val="50"/>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1"/>
    <w:link w:val="51"/>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1"/>
    <w:link w:val="5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1"/>
    <w:link w:val="5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6"/>
    <w:qFormat/>
    <w:uiPriority w:val="0"/>
    <w:rPr>
      <w:sz w:val="18"/>
      <w:szCs w:val="18"/>
    </w:rPr>
  </w:style>
  <w:style w:type="paragraph" w:styleId="12">
    <w:name w:val="toc 7"/>
    <w:basedOn w:val="1"/>
    <w:next w:val="1"/>
    <w:semiHidden/>
    <w:qFormat/>
    <w:uiPriority w:val="0"/>
    <w:pPr>
      <w:ind w:left="2520" w:leftChars="1200"/>
    </w:pPr>
  </w:style>
  <w:style w:type="paragraph" w:styleId="13">
    <w:name w:val="Normal Indent"/>
    <w:basedOn w:val="1"/>
    <w:qFormat/>
    <w:uiPriority w:val="0"/>
    <w:pPr>
      <w:ind w:firstLine="420" w:firstLineChars="200"/>
    </w:pPr>
  </w:style>
  <w:style w:type="paragraph" w:styleId="14">
    <w:name w:val="Document Map"/>
    <w:basedOn w:val="1"/>
    <w:link w:val="80"/>
    <w:qFormat/>
    <w:uiPriority w:val="0"/>
    <w:pPr>
      <w:shd w:val="clear" w:color="auto" w:fill="000080"/>
    </w:pPr>
    <w:rPr>
      <w:szCs w:val="20"/>
    </w:rPr>
  </w:style>
  <w:style w:type="paragraph" w:styleId="15">
    <w:name w:val="annotation text"/>
    <w:basedOn w:val="1"/>
    <w:link w:val="73"/>
    <w:qFormat/>
    <w:uiPriority w:val="0"/>
    <w:pPr>
      <w:jc w:val="left"/>
    </w:pPr>
  </w:style>
  <w:style w:type="paragraph" w:styleId="16">
    <w:name w:val="Body Text"/>
    <w:basedOn w:val="1"/>
    <w:link w:val="62"/>
    <w:qFormat/>
    <w:uiPriority w:val="0"/>
    <w:pPr>
      <w:spacing w:line="360" w:lineRule="auto"/>
    </w:pPr>
    <w:rPr>
      <w:rFonts w:ascii="仿宋_GB2312" w:eastAsia="仿宋_GB2312"/>
      <w:sz w:val="24"/>
    </w:rPr>
  </w:style>
  <w:style w:type="paragraph" w:styleId="17">
    <w:name w:val="Body Text Indent"/>
    <w:basedOn w:val="1"/>
    <w:link w:val="60"/>
    <w:qFormat/>
    <w:uiPriority w:val="0"/>
    <w:pPr>
      <w:autoSpaceDE w:val="0"/>
      <w:autoSpaceDN w:val="0"/>
      <w:spacing w:line="360" w:lineRule="auto"/>
      <w:ind w:firstLine="425"/>
      <w:textAlignment w:val="bottom"/>
    </w:pPr>
    <w:rPr>
      <w:rFonts w:ascii="宋体"/>
      <w:color w:val="FF0000"/>
      <w:szCs w:val="20"/>
    </w:rPr>
  </w:style>
  <w:style w:type="paragraph" w:styleId="18">
    <w:name w:val="toc 5"/>
    <w:basedOn w:val="1"/>
    <w:next w:val="1"/>
    <w:semiHidden/>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85"/>
    <w:qFormat/>
    <w:uiPriority w:val="0"/>
    <w:pPr>
      <w:adjustRightInd w:val="0"/>
      <w:spacing w:line="312" w:lineRule="atLeast"/>
      <w:textAlignment w:val="baseline"/>
    </w:pPr>
    <w:rPr>
      <w:rFonts w:ascii="宋体" w:hAnsi="Courier New"/>
      <w:kern w:val="0"/>
      <w:szCs w:val="20"/>
    </w:rPr>
  </w:style>
  <w:style w:type="paragraph" w:styleId="21">
    <w:name w:val="toc 8"/>
    <w:basedOn w:val="1"/>
    <w:next w:val="1"/>
    <w:semiHidden/>
    <w:qFormat/>
    <w:uiPriority w:val="0"/>
    <w:pPr>
      <w:ind w:left="2940" w:leftChars="1400"/>
    </w:pPr>
  </w:style>
  <w:style w:type="paragraph" w:styleId="22">
    <w:name w:val="Body Text Indent 2"/>
    <w:basedOn w:val="1"/>
    <w:link w:val="63"/>
    <w:qFormat/>
    <w:uiPriority w:val="0"/>
    <w:pPr>
      <w:spacing w:line="360" w:lineRule="auto"/>
      <w:ind w:firstLine="480" w:firstLineChars="200"/>
    </w:pPr>
    <w:rPr>
      <w:rFonts w:ascii="仿宋_GB2312" w:eastAsia="仿宋_GB2312"/>
      <w:sz w:val="24"/>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semiHidden/>
    <w:qFormat/>
    <w:uiPriority w:val="0"/>
    <w:pPr>
      <w:ind w:left="1260" w:leftChars="600"/>
    </w:pPr>
  </w:style>
  <w:style w:type="paragraph" w:styleId="27">
    <w:name w:val="footnote text"/>
    <w:basedOn w:val="1"/>
    <w:link w:val="79"/>
    <w:qFormat/>
    <w:uiPriority w:val="0"/>
    <w:pPr>
      <w:snapToGrid w:val="0"/>
      <w:jc w:val="left"/>
    </w:pPr>
    <w:rPr>
      <w:sz w:val="18"/>
      <w:szCs w:val="20"/>
    </w:rPr>
  </w:style>
  <w:style w:type="paragraph" w:styleId="28">
    <w:name w:val="toc 6"/>
    <w:basedOn w:val="1"/>
    <w:next w:val="1"/>
    <w:semiHidden/>
    <w:qFormat/>
    <w:uiPriority w:val="0"/>
    <w:pPr>
      <w:ind w:left="2100" w:leftChars="1000"/>
    </w:pPr>
  </w:style>
  <w:style w:type="paragraph" w:styleId="29">
    <w:name w:val="Body Text Indent 3"/>
    <w:basedOn w:val="1"/>
    <w:link w:val="65"/>
    <w:qFormat/>
    <w:uiPriority w:val="0"/>
    <w:pPr>
      <w:spacing w:line="360" w:lineRule="auto"/>
      <w:ind w:firstLine="480" w:firstLineChars="200"/>
    </w:pPr>
    <w:rPr>
      <w:rFonts w:ascii="仿宋_GB2312" w:eastAsia="仿宋_GB2312"/>
      <w:color w:val="FF0000"/>
      <w:sz w:val="24"/>
      <w:szCs w:val="18"/>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link w:val="68"/>
    <w:qFormat/>
    <w:uiPriority w:val="0"/>
    <w:pPr>
      <w:spacing w:line="360" w:lineRule="auto"/>
    </w:pPr>
    <w:rPr>
      <w:rFonts w:ascii="仿宋_GB2312" w:eastAsia="仿宋_GB2312"/>
      <w:color w:val="000000"/>
    </w:rPr>
  </w:style>
  <w:style w:type="paragraph" w:styleId="3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34">
    <w:name w:val="Title"/>
    <w:basedOn w:val="1"/>
    <w:link w:val="58"/>
    <w:qFormat/>
    <w:uiPriority w:val="0"/>
    <w:pPr>
      <w:spacing w:before="240" w:after="60"/>
      <w:jc w:val="center"/>
      <w:outlineLvl w:val="0"/>
    </w:pPr>
    <w:rPr>
      <w:rFonts w:ascii="Arial" w:hAnsi="Arial" w:cs="Arial"/>
      <w:b/>
      <w:bCs/>
      <w:sz w:val="32"/>
      <w:szCs w:val="32"/>
    </w:rPr>
  </w:style>
  <w:style w:type="paragraph" w:styleId="35">
    <w:name w:val="annotation subject"/>
    <w:basedOn w:val="15"/>
    <w:next w:val="15"/>
    <w:link w:val="74"/>
    <w:qFormat/>
    <w:uiPriority w:val="0"/>
    <w:rPr>
      <w:b/>
      <w:bCs/>
    </w:rPr>
  </w:style>
  <w:style w:type="paragraph" w:styleId="36">
    <w:name w:val="Body Text First Indent"/>
    <w:basedOn w:val="16"/>
    <w:link w:val="69"/>
    <w:qFormat/>
    <w:uiPriority w:val="0"/>
    <w:pPr>
      <w:spacing w:after="120" w:line="240" w:lineRule="auto"/>
      <w:ind w:firstLine="420" w:firstLineChars="100"/>
    </w:pPr>
    <w:rPr>
      <w:rFonts w:ascii="Times New Roman" w:eastAsia="宋体"/>
      <w:sz w:val="21"/>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rFonts w:ascii="Calibri" w:hAnsi="Calibri" w:eastAsia="宋体" w:cs="Times New Roman"/>
      <w:b/>
      <w:bCs/>
    </w:rPr>
  </w:style>
  <w:style w:type="character" w:styleId="41">
    <w:name w:val="page number"/>
    <w:basedOn w:val="39"/>
    <w:qFormat/>
    <w:uiPriority w:val="0"/>
    <w:rPr>
      <w:rFonts w:ascii="Calibri" w:hAnsi="Calibri" w:eastAsia="宋体" w:cs="Times New Roman"/>
    </w:rPr>
  </w:style>
  <w:style w:type="character" w:styleId="42">
    <w:name w:val="Hyperlink"/>
    <w:qFormat/>
    <w:uiPriority w:val="99"/>
    <w:rPr>
      <w:rFonts w:ascii="Calibri" w:hAnsi="Calibri" w:eastAsia="宋体" w:cs="Times New Roman"/>
      <w:color w:val="0000FF"/>
      <w:u w:val="single"/>
    </w:rPr>
  </w:style>
  <w:style w:type="character" w:styleId="43">
    <w:name w:val="annotation reference"/>
    <w:qFormat/>
    <w:uiPriority w:val="0"/>
    <w:rPr>
      <w:rFonts w:ascii="Calibri" w:hAnsi="Calibri" w:eastAsia="宋体" w:cs="Times New Roman"/>
      <w:sz w:val="21"/>
      <w:szCs w:val="21"/>
    </w:rPr>
  </w:style>
  <w:style w:type="character" w:styleId="44">
    <w:name w:val="footnote reference"/>
    <w:qFormat/>
    <w:uiPriority w:val="0"/>
    <w:rPr>
      <w:rFonts w:ascii="Calibri" w:hAnsi="Calibri" w:eastAsia="宋体" w:cs="Times New Roman"/>
      <w:vertAlign w:val="superscript"/>
    </w:rPr>
  </w:style>
  <w:style w:type="character" w:customStyle="1" w:styleId="45">
    <w:name w:val="标题 1 Char"/>
    <w:link w:val="3"/>
    <w:qFormat/>
    <w:uiPriority w:val="0"/>
    <w:rPr>
      <w:rFonts w:ascii="Calibri" w:hAnsi="Calibri" w:eastAsia="宋体" w:cs="Times New Roman"/>
      <w:b/>
      <w:kern w:val="44"/>
      <w:sz w:val="28"/>
      <w:szCs w:val="20"/>
    </w:rPr>
  </w:style>
  <w:style w:type="character" w:customStyle="1" w:styleId="46">
    <w:name w:val="标题 2 Char"/>
    <w:link w:val="4"/>
    <w:qFormat/>
    <w:uiPriority w:val="0"/>
    <w:rPr>
      <w:rFonts w:ascii="Arial" w:hAnsi="Arial" w:eastAsia="宋体" w:cs="Times New Roman"/>
      <w:b/>
      <w:sz w:val="24"/>
      <w:szCs w:val="20"/>
    </w:rPr>
  </w:style>
  <w:style w:type="character" w:customStyle="1" w:styleId="47">
    <w:name w:val="标题 3 Char"/>
    <w:link w:val="5"/>
    <w:qFormat/>
    <w:uiPriority w:val="0"/>
    <w:rPr>
      <w:rFonts w:ascii="宋体" w:hAnsi="Calibri" w:eastAsia="宋体" w:cs="Times New Roman"/>
      <w:b/>
      <w:szCs w:val="20"/>
    </w:rPr>
  </w:style>
  <w:style w:type="character" w:customStyle="1" w:styleId="48">
    <w:name w:val="标题 4 Char"/>
    <w:link w:val="6"/>
    <w:qFormat/>
    <w:uiPriority w:val="0"/>
    <w:rPr>
      <w:rFonts w:ascii="Arial" w:hAnsi="Arial" w:eastAsia="宋体" w:cs="Times New Roman"/>
      <w:szCs w:val="20"/>
    </w:rPr>
  </w:style>
  <w:style w:type="character" w:customStyle="1" w:styleId="49">
    <w:name w:val="标题 5 Char"/>
    <w:link w:val="7"/>
    <w:qFormat/>
    <w:uiPriority w:val="0"/>
    <w:rPr>
      <w:rFonts w:ascii="Calibri" w:hAnsi="Calibri" w:eastAsia="宋体" w:cs="Times New Roman"/>
      <w:szCs w:val="20"/>
    </w:rPr>
  </w:style>
  <w:style w:type="character" w:customStyle="1" w:styleId="50">
    <w:name w:val="标题 6 Char"/>
    <w:link w:val="8"/>
    <w:qFormat/>
    <w:uiPriority w:val="0"/>
    <w:rPr>
      <w:rFonts w:ascii="Arial" w:hAnsi="Arial" w:eastAsia="黑体" w:cs="Times New Roman"/>
      <w:b/>
      <w:sz w:val="24"/>
      <w:szCs w:val="20"/>
    </w:rPr>
  </w:style>
  <w:style w:type="character" w:customStyle="1" w:styleId="51">
    <w:name w:val="标题 7 Char"/>
    <w:link w:val="9"/>
    <w:qFormat/>
    <w:uiPriority w:val="0"/>
    <w:rPr>
      <w:rFonts w:ascii="Calibri" w:hAnsi="Calibri" w:eastAsia="宋体" w:cs="Times New Roman"/>
      <w:b/>
      <w:sz w:val="24"/>
      <w:szCs w:val="20"/>
    </w:rPr>
  </w:style>
  <w:style w:type="character" w:customStyle="1" w:styleId="52">
    <w:name w:val="标题 8 Char"/>
    <w:link w:val="10"/>
    <w:qFormat/>
    <w:uiPriority w:val="0"/>
    <w:rPr>
      <w:rFonts w:ascii="Arial" w:hAnsi="Arial" w:eastAsia="黑体" w:cs="Times New Roman"/>
      <w:sz w:val="24"/>
      <w:szCs w:val="20"/>
    </w:rPr>
  </w:style>
  <w:style w:type="character" w:customStyle="1" w:styleId="53">
    <w:name w:val="标题 9 Char"/>
    <w:link w:val="11"/>
    <w:qFormat/>
    <w:uiPriority w:val="0"/>
    <w:rPr>
      <w:rFonts w:ascii="Arial" w:hAnsi="Arial" w:eastAsia="黑体" w:cs="Times New Roman"/>
      <w:szCs w:val="20"/>
    </w:rPr>
  </w:style>
  <w:style w:type="character" w:customStyle="1" w:styleId="54">
    <w:name w:val="页脚 Char"/>
    <w:link w:val="23"/>
    <w:qFormat/>
    <w:uiPriority w:val="99"/>
    <w:rPr>
      <w:rFonts w:ascii="Calibri" w:hAnsi="Calibri" w:eastAsia="宋体" w:cs="Times New Roman"/>
      <w:sz w:val="18"/>
      <w:szCs w:val="18"/>
    </w:rPr>
  </w:style>
  <w:style w:type="paragraph" w:customStyle="1" w:styleId="55">
    <w:name w:val="unnamed1"/>
    <w:basedOn w:val="1"/>
    <w:qFormat/>
    <w:uiPriority w:val="0"/>
    <w:pPr>
      <w:widowControl/>
      <w:spacing w:before="60" w:after="60"/>
      <w:ind w:left="15" w:right="15"/>
      <w:jc w:val="left"/>
    </w:pPr>
    <w:rPr>
      <w:rFonts w:hint="eastAsia" w:ascii="宋体" w:hAnsi="宋体"/>
      <w:color w:val="000000"/>
      <w:kern w:val="0"/>
      <w:sz w:val="18"/>
      <w:szCs w:val="18"/>
    </w:rPr>
  </w:style>
  <w:style w:type="character" w:customStyle="1" w:styleId="56">
    <w:name w:val="unnamed11"/>
    <w:qFormat/>
    <w:uiPriority w:val="0"/>
    <w:rPr>
      <w:rFonts w:hint="eastAsia" w:ascii="宋体" w:hAnsi="宋体" w:eastAsia="宋体" w:cs="Times New Roman"/>
      <w:sz w:val="18"/>
      <w:szCs w:val="18"/>
    </w:rPr>
  </w:style>
  <w:style w:type="paragraph" w:customStyle="1" w:styleId="57">
    <w:name w:val="列表2"/>
    <w:basedOn w:val="1"/>
    <w:next w:val="34"/>
    <w:qFormat/>
    <w:uiPriority w:val="0"/>
    <w:pPr>
      <w:numPr>
        <w:ilvl w:val="0"/>
        <w:numId w:val="2"/>
      </w:numPr>
      <w:spacing w:line="360" w:lineRule="auto"/>
    </w:pPr>
    <w:rPr>
      <w:rFonts w:ascii="宋体"/>
      <w:szCs w:val="20"/>
    </w:rPr>
  </w:style>
  <w:style w:type="character" w:customStyle="1" w:styleId="58">
    <w:name w:val="标题 Char"/>
    <w:link w:val="34"/>
    <w:qFormat/>
    <w:uiPriority w:val="0"/>
    <w:rPr>
      <w:rFonts w:ascii="Arial" w:hAnsi="Arial" w:eastAsia="宋体" w:cs="Arial"/>
      <w:b/>
      <w:bCs/>
      <w:sz w:val="32"/>
      <w:szCs w:val="32"/>
    </w:rPr>
  </w:style>
  <w:style w:type="character" w:customStyle="1" w:styleId="59">
    <w:name w:val="read"/>
    <w:basedOn w:val="39"/>
    <w:qFormat/>
    <w:uiPriority w:val="0"/>
    <w:rPr>
      <w:rFonts w:ascii="Calibri" w:hAnsi="Calibri" w:eastAsia="宋体" w:cs="Times New Roman"/>
    </w:rPr>
  </w:style>
  <w:style w:type="character" w:customStyle="1" w:styleId="60">
    <w:name w:val="正文文本缩进 Char"/>
    <w:link w:val="17"/>
    <w:qFormat/>
    <w:uiPriority w:val="0"/>
    <w:rPr>
      <w:rFonts w:ascii="宋体" w:hAnsi="Calibri" w:eastAsia="宋体" w:cs="Times New Roman"/>
      <w:color w:val="FF0000"/>
      <w:szCs w:val="20"/>
    </w:rPr>
  </w:style>
  <w:style w:type="paragraph" w:customStyle="1" w:styleId="61">
    <w:name w:val="列表1"/>
    <w:basedOn w:val="1"/>
    <w:next w:val="1"/>
    <w:qFormat/>
    <w:uiPriority w:val="0"/>
    <w:pPr>
      <w:tabs>
        <w:tab w:val="left" w:pos="644"/>
      </w:tabs>
      <w:spacing w:line="360" w:lineRule="auto"/>
      <w:ind w:left="567" w:hanging="283"/>
    </w:pPr>
    <w:rPr>
      <w:szCs w:val="20"/>
    </w:rPr>
  </w:style>
  <w:style w:type="character" w:customStyle="1" w:styleId="62">
    <w:name w:val="正文文本 Char"/>
    <w:link w:val="16"/>
    <w:qFormat/>
    <w:uiPriority w:val="0"/>
    <w:rPr>
      <w:rFonts w:ascii="仿宋_GB2312" w:hAnsi="Calibri" w:eastAsia="仿宋_GB2312" w:cs="Times New Roman"/>
      <w:sz w:val="24"/>
    </w:rPr>
  </w:style>
  <w:style w:type="character" w:customStyle="1" w:styleId="63">
    <w:name w:val="正文文本缩进 2 Char"/>
    <w:link w:val="22"/>
    <w:qFormat/>
    <w:uiPriority w:val="0"/>
    <w:rPr>
      <w:rFonts w:ascii="仿宋_GB2312" w:hAnsi="Calibri" w:eastAsia="仿宋_GB2312" w:cs="Times New Roman"/>
      <w:sz w:val="24"/>
    </w:rPr>
  </w:style>
  <w:style w:type="character" w:customStyle="1" w:styleId="64">
    <w:name w:val="已访问的超链接1"/>
    <w:qFormat/>
    <w:uiPriority w:val="0"/>
    <w:rPr>
      <w:rFonts w:ascii="Calibri" w:hAnsi="Calibri" w:eastAsia="宋体" w:cs="Times New Roman"/>
      <w:color w:val="800080"/>
      <w:u w:val="single"/>
    </w:rPr>
  </w:style>
  <w:style w:type="character" w:customStyle="1" w:styleId="65">
    <w:name w:val="正文文本缩进 3 Char"/>
    <w:link w:val="29"/>
    <w:qFormat/>
    <w:uiPriority w:val="0"/>
    <w:rPr>
      <w:rFonts w:ascii="仿宋_GB2312" w:hAnsi="Calibri" w:eastAsia="仿宋_GB2312" w:cs="Times New Roman"/>
      <w:color w:val="FF0000"/>
      <w:sz w:val="24"/>
      <w:szCs w:val="18"/>
    </w:rPr>
  </w:style>
  <w:style w:type="character" w:customStyle="1" w:styleId="66">
    <w:name w:val="批注框文本 Char"/>
    <w:link w:val="2"/>
    <w:semiHidden/>
    <w:qFormat/>
    <w:uiPriority w:val="0"/>
    <w:rPr>
      <w:rFonts w:ascii="Calibri" w:hAnsi="Calibri" w:eastAsia="宋体" w:cs="Times New Roman"/>
      <w:sz w:val="18"/>
      <w:szCs w:val="18"/>
    </w:rPr>
  </w:style>
  <w:style w:type="character" w:customStyle="1" w:styleId="67">
    <w:name w:val="页眉 Char"/>
    <w:link w:val="24"/>
    <w:qFormat/>
    <w:uiPriority w:val="0"/>
    <w:rPr>
      <w:rFonts w:ascii="Calibri" w:hAnsi="Calibri" w:eastAsia="宋体" w:cs="Times New Roman"/>
      <w:sz w:val="18"/>
      <w:szCs w:val="18"/>
    </w:rPr>
  </w:style>
  <w:style w:type="character" w:customStyle="1" w:styleId="68">
    <w:name w:val="正文文本 2 Char"/>
    <w:link w:val="32"/>
    <w:qFormat/>
    <w:uiPriority w:val="0"/>
    <w:rPr>
      <w:rFonts w:ascii="仿宋_GB2312" w:hAnsi="Calibri" w:eastAsia="仿宋_GB2312" w:cs="Times New Roman"/>
      <w:color w:val="000000"/>
    </w:rPr>
  </w:style>
  <w:style w:type="character" w:customStyle="1" w:styleId="69">
    <w:name w:val="正文首行缩进 Char"/>
    <w:link w:val="36"/>
    <w:qFormat/>
    <w:uiPriority w:val="0"/>
    <w:rPr>
      <w:rFonts w:ascii="Times New Roman" w:hAnsi="Calibri" w:eastAsia="宋体" w:cs="Times New Roman"/>
      <w:sz w:val="21"/>
    </w:rPr>
  </w:style>
  <w:style w:type="paragraph" w:customStyle="1" w:styleId="70">
    <w:name w:val="Char"/>
    <w:basedOn w:val="1"/>
    <w:qFormat/>
    <w:uiPriority w:val="0"/>
  </w:style>
  <w:style w:type="paragraph" w:customStyle="1" w:styleId="71">
    <w:name w:val="Char Char Char"/>
    <w:basedOn w:val="1"/>
    <w:qFormat/>
    <w:uiPriority w:val="0"/>
  </w:style>
  <w:style w:type="paragraph" w:customStyle="1" w:styleId="72">
    <w:name w:val="默认段落字体 Para Char"/>
    <w:basedOn w:val="1"/>
    <w:qFormat/>
    <w:uiPriority w:val="0"/>
    <w:pPr>
      <w:tabs>
        <w:tab w:val="left" w:pos="360"/>
      </w:tabs>
    </w:pPr>
    <w:rPr>
      <w:sz w:val="24"/>
    </w:rPr>
  </w:style>
  <w:style w:type="character" w:customStyle="1" w:styleId="73">
    <w:name w:val="批注文字 Char"/>
    <w:link w:val="15"/>
    <w:qFormat/>
    <w:uiPriority w:val="0"/>
    <w:rPr>
      <w:rFonts w:ascii="Calibri" w:hAnsi="Calibri" w:eastAsia="宋体" w:cs="Times New Roman"/>
    </w:rPr>
  </w:style>
  <w:style w:type="character" w:customStyle="1" w:styleId="74">
    <w:name w:val="批注主题 Char"/>
    <w:link w:val="35"/>
    <w:qFormat/>
    <w:uiPriority w:val="0"/>
    <w:rPr>
      <w:rFonts w:ascii="Calibri" w:hAnsi="Calibri" w:eastAsia="宋体" w:cs="Times New Roman"/>
      <w:b/>
      <w:bCs/>
    </w:r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HD正文"/>
    <w:basedOn w:val="1"/>
    <w:qFormat/>
    <w:uiPriority w:val="0"/>
    <w:pPr>
      <w:snapToGrid w:val="0"/>
      <w:spacing w:line="360" w:lineRule="auto"/>
      <w:ind w:firstLine="420" w:firstLineChars="200"/>
    </w:pPr>
    <w:rPr>
      <w:szCs w:val="21"/>
    </w:rPr>
  </w:style>
  <w:style w:type="paragraph" w:customStyle="1" w:styleId="77">
    <w:name w:val="正文所"/>
    <w:basedOn w:val="1"/>
    <w:qFormat/>
    <w:uiPriority w:val="0"/>
    <w:pPr>
      <w:spacing w:line="360" w:lineRule="auto"/>
      <w:ind w:firstLine="420" w:firstLineChars="200"/>
    </w:pPr>
    <w:rPr>
      <w:rFonts w:ascii="宋体"/>
      <w:szCs w:val="20"/>
    </w:rPr>
  </w:style>
  <w:style w:type="paragraph" w:customStyle="1" w:styleId="78">
    <w:name w:val="Char Char Char Char"/>
    <w:basedOn w:val="1"/>
    <w:qFormat/>
    <w:uiPriority w:val="0"/>
    <w:pPr>
      <w:tabs>
        <w:tab w:val="left" w:pos="360"/>
      </w:tabs>
    </w:pPr>
    <w:rPr>
      <w:szCs w:val="20"/>
    </w:rPr>
  </w:style>
  <w:style w:type="character" w:customStyle="1" w:styleId="79">
    <w:name w:val="脚注文本 Char"/>
    <w:basedOn w:val="39"/>
    <w:link w:val="27"/>
    <w:qFormat/>
    <w:uiPriority w:val="0"/>
    <w:rPr>
      <w:rFonts w:ascii="Calibri" w:hAnsi="Calibri" w:eastAsia="宋体" w:cs="Times New Roman"/>
      <w:sz w:val="18"/>
      <w:szCs w:val="20"/>
    </w:rPr>
  </w:style>
  <w:style w:type="character" w:customStyle="1" w:styleId="80">
    <w:name w:val="文档结构图 Char"/>
    <w:basedOn w:val="39"/>
    <w:link w:val="14"/>
    <w:qFormat/>
    <w:uiPriority w:val="0"/>
    <w:rPr>
      <w:rFonts w:ascii="Calibri" w:hAnsi="Calibri" w:eastAsia="宋体" w:cs="Times New Roman"/>
      <w:szCs w:val="20"/>
    </w:rPr>
  </w:style>
  <w:style w:type="paragraph" w:customStyle="1" w:styleId="81">
    <w:name w:val="Char1"/>
    <w:basedOn w:val="1"/>
    <w:qFormat/>
    <w:uiPriority w:val="0"/>
    <w:rPr>
      <w:szCs w:val="20"/>
    </w:rPr>
  </w:style>
  <w:style w:type="paragraph" w:customStyle="1" w:styleId="82">
    <w:name w:val="List_bullet"/>
    <w:basedOn w:val="1"/>
    <w:qFormat/>
    <w:uiPriority w:val="0"/>
    <w:pPr>
      <w:widowControl/>
      <w:tabs>
        <w:tab w:val="left" w:pos="360"/>
      </w:tabs>
      <w:jc w:val="left"/>
    </w:pPr>
    <w:rPr>
      <w:kern w:val="0"/>
      <w:sz w:val="24"/>
      <w:szCs w:val="20"/>
    </w:rPr>
  </w:style>
  <w:style w:type="paragraph" w:customStyle="1" w:styleId="83">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Char Char"/>
    <w:basedOn w:val="1"/>
    <w:qFormat/>
    <w:uiPriority w:val="0"/>
    <w:rPr>
      <w:szCs w:val="20"/>
    </w:rPr>
  </w:style>
  <w:style w:type="character" w:customStyle="1" w:styleId="85">
    <w:name w:val="纯文本 Char"/>
    <w:basedOn w:val="39"/>
    <w:link w:val="20"/>
    <w:qFormat/>
    <w:uiPriority w:val="0"/>
    <w:rPr>
      <w:rFonts w:ascii="宋体" w:hAnsi="Courier New" w:eastAsia="宋体" w:cs="Times New Roman"/>
      <w:kern w:val="0"/>
      <w:szCs w:val="20"/>
    </w:rPr>
  </w:style>
  <w:style w:type="paragraph" w:customStyle="1" w:styleId="86">
    <w:name w:val="Char Char1"/>
    <w:basedOn w:val="1"/>
    <w:qFormat/>
    <w:uiPriority w:val="0"/>
    <w:rPr>
      <w:szCs w:val="20"/>
    </w:rPr>
  </w:style>
  <w:style w:type="paragraph" w:customStyle="1" w:styleId="8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8">
    <w:name w:val="正文正文"/>
    <w:basedOn w:val="1"/>
    <w:qFormat/>
    <w:uiPriority w:val="0"/>
    <w:pPr>
      <w:spacing w:afterLines="25" w:line="360" w:lineRule="auto"/>
      <w:ind w:firstLine="200" w:firstLineChars="200"/>
    </w:pPr>
    <w:rPr>
      <w:sz w:val="24"/>
      <w:szCs w:val="20"/>
    </w:rPr>
  </w:style>
  <w:style w:type="paragraph" w:customStyle="1" w:styleId="89">
    <w:name w:val="InfoBlue"/>
    <w:basedOn w:val="1"/>
    <w:next w:val="16"/>
    <w:qFormat/>
    <w:uiPriority w:val="0"/>
    <w:pPr>
      <w:tabs>
        <w:tab w:val="left" w:pos="420"/>
      </w:tabs>
      <w:spacing w:after="120" w:line="240" w:lineRule="atLeast"/>
      <w:ind w:left="420" w:hanging="420"/>
      <w:jc w:val="left"/>
    </w:pPr>
    <w:rPr>
      <w:rFonts w:ascii="宋体" w:hAnsi="宋体"/>
      <w:szCs w:val="20"/>
    </w:rPr>
  </w:style>
  <w:style w:type="paragraph" w:customStyle="1" w:styleId="90">
    <w:name w:val="Char Char2"/>
    <w:basedOn w:val="1"/>
    <w:qFormat/>
    <w:uiPriority w:val="0"/>
    <w:rPr>
      <w:szCs w:val="20"/>
    </w:rPr>
  </w:style>
  <w:style w:type="paragraph" w:customStyle="1" w:styleId="91">
    <w:name w:val="Char2"/>
    <w:basedOn w:val="1"/>
    <w:qFormat/>
    <w:uiPriority w:val="0"/>
    <w:rPr>
      <w:szCs w:val="20"/>
    </w:rPr>
  </w:style>
  <w:style w:type="paragraph" w:customStyle="1" w:styleId="92">
    <w:name w:val="Char Char Char1"/>
    <w:basedOn w:val="1"/>
    <w:qFormat/>
    <w:uiPriority w:val="0"/>
    <w:rPr>
      <w:szCs w:val="20"/>
    </w:rPr>
  </w:style>
  <w:style w:type="paragraph" w:customStyle="1" w:styleId="93">
    <w:name w:val="Char Char Char Char1"/>
    <w:basedOn w:val="1"/>
    <w:qFormat/>
    <w:uiPriority w:val="0"/>
    <w:pPr>
      <w:tabs>
        <w:tab w:val="left" w:pos="360"/>
      </w:tabs>
    </w:pPr>
    <w:rPr>
      <w:szCs w:val="20"/>
    </w:rPr>
  </w:style>
  <w:style w:type="paragraph" w:customStyle="1" w:styleId="94">
    <w:name w:val="Char Char11"/>
    <w:basedOn w:val="1"/>
    <w:qFormat/>
    <w:uiPriority w:val="0"/>
    <w:rPr>
      <w:szCs w:val="20"/>
    </w:rPr>
  </w:style>
  <w:style w:type="character" w:customStyle="1" w:styleId="95">
    <w:name w:val="grame"/>
    <w:basedOn w:val="39"/>
    <w:qFormat/>
    <w:uiPriority w:val="0"/>
    <w:rPr>
      <w:rFonts w:ascii="Calibri" w:hAnsi="Calibri" w:eastAsia="宋体" w:cs="Times New Roman"/>
    </w:rPr>
  </w:style>
  <w:style w:type="paragraph" w:customStyle="1" w:styleId="9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9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批注文字 字符1"/>
    <w:qFormat/>
    <w:uiPriority w:val="0"/>
    <w:rPr>
      <w:kern w:val="2"/>
      <w:sz w:val="21"/>
      <w:szCs w:val="22"/>
    </w:rPr>
  </w:style>
  <w:style w:type="paragraph" w:customStyle="1" w:styleId="10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header" Target="header3.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llinks.com</Company>
  <Pages>94</Pages>
  <Words>11845</Words>
  <Characters>67518</Characters>
  <Lines>562</Lines>
  <Paragraphs>158</Paragraphs>
  <TotalTime>2</TotalTime>
  <ScaleCrop>false</ScaleCrop>
  <LinksUpToDate>false</LinksUpToDate>
  <CharactersWithSpaces>79205</CharactersWithSpaces>
  <Application>WPS Office_12.8.2.19795_F1E327BC-269C-435d-A152-05C5408002CA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2025-01-06T06:39:00Z</dcterms:created>
  <dc:creator>liush</dc:creator>
  <cp:lastModifiedBy>fuxj</cp:lastModifiedBy>
  <cp:lastPrinted>2021-06-09T01:33:00Z</cp:lastPrinted>
  <dcterms:modified xsi:type="dcterms:W3CDTF">2025-05-21T10:55:12Z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2052-12.8.2.19795</vt:lpwstr>
  </property>
  <property fmtid="{D5CDD505-2E9C-101B-9397-08002B2CF9AE}" pid="3" name="contractId">
    <vt:lpwstr>8531f089d0c1479ca143fccf8259a37a</vt:lpwstr>
  </property>
  <property fmtid="{D5CDD505-2E9C-101B-9397-08002B2CF9AE}" pid="4" name="verificationId">
    <vt:lpwstr>9127103a028ce3ef</vt:lpwstr>
  </property>
  <property fmtid="{D5CDD505-2E9C-101B-9397-08002B2CF9AE}" pid="5" name="ICV">
    <vt:lpwstr>CB6142D0C2A642358E559CDE1E7B673B</vt:lpwstr>
  </property>
</Properties>
</file>