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Arial"/>
          <w:sz w:val="24"/>
          <w:szCs w:val="24"/>
        </w:rPr>
      </w:pPr>
      <w:bookmarkStart w:id="124" w:name="_GoBack"/>
      <w:bookmarkEnd w:id="124"/>
    </w:p>
    <w:p>
      <w:pPr>
        <w:adjustRightInd w:val="0"/>
        <w:snapToGrid w:val="0"/>
        <w:jc w:val="center"/>
        <w:rPr>
          <w:rFonts w:ascii="宋体" w:hAnsi="宋体" w:eastAsia="宋体" w:cs="Arial"/>
          <w:sz w:val="24"/>
          <w:szCs w:val="24"/>
        </w:rPr>
      </w:pPr>
    </w:p>
    <w:p>
      <w:pPr>
        <w:adjustRightInd w:val="0"/>
        <w:snapToGrid w:val="0"/>
        <w:jc w:val="center"/>
        <w:rPr>
          <w:rFonts w:ascii="宋体" w:hAnsi="宋体" w:eastAsia="宋体" w:cs="Arial"/>
          <w:sz w:val="24"/>
          <w:szCs w:val="24"/>
        </w:rPr>
      </w:pPr>
    </w:p>
    <w:p>
      <w:pPr>
        <w:adjustRightInd w:val="0"/>
        <w:snapToGrid w:val="0"/>
        <w:jc w:val="center"/>
        <w:rPr>
          <w:rFonts w:ascii="宋体" w:hAnsi="宋体" w:eastAsia="宋体" w:cs="Arial"/>
          <w:sz w:val="24"/>
          <w:szCs w:val="24"/>
        </w:rPr>
      </w:pPr>
    </w:p>
    <w:p>
      <w:pPr>
        <w:adjustRightInd w:val="0"/>
        <w:snapToGrid w:val="0"/>
        <w:jc w:val="center"/>
        <w:rPr>
          <w:rFonts w:ascii="宋体" w:hAnsi="宋体" w:eastAsia="宋体" w:cs="Arial"/>
          <w:sz w:val="24"/>
          <w:szCs w:val="24"/>
        </w:rPr>
      </w:pPr>
      <w:r>
        <w:rPr>
          <w:rFonts w:hint="eastAsia" w:ascii="宋体" w:hAnsi="宋体" w:eastAsia="宋体" w:cs="Times New Roman"/>
          <w:b/>
          <w:sz w:val="48"/>
          <w:szCs w:val="24"/>
        </w:rPr>
        <w:t>国寿安保养老目标日期2030三年持有期混合型发起式基金中基金（FOF）</w:t>
      </w:r>
    </w:p>
    <w:p>
      <w:pPr>
        <w:adjustRightInd w:val="0"/>
        <w:snapToGrid w:val="0"/>
        <w:rPr>
          <w:rFonts w:ascii="宋体" w:hAnsi="宋体" w:eastAsia="宋体" w:cs="Arial"/>
          <w:b/>
          <w:sz w:val="44"/>
          <w:szCs w:val="24"/>
        </w:rPr>
      </w:pPr>
    </w:p>
    <w:p>
      <w:pPr>
        <w:adjustRightInd w:val="0"/>
        <w:snapToGrid w:val="0"/>
        <w:jc w:val="center"/>
        <w:rPr>
          <w:rFonts w:ascii="宋体" w:hAnsi="宋体" w:eastAsia="宋体" w:cs="Arial"/>
          <w:b/>
          <w:sz w:val="44"/>
          <w:szCs w:val="24"/>
        </w:rPr>
      </w:pPr>
      <w:r>
        <w:rPr>
          <w:rFonts w:hint="eastAsia" w:ascii="宋体" w:hAnsi="宋体" w:eastAsia="宋体" w:cs="Arial"/>
          <w:b/>
          <w:sz w:val="44"/>
          <w:szCs w:val="24"/>
        </w:rPr>
        <w:t>托管协议</w:t>
      </w:r>
    </w:p>
    <w:p/>
    <w:p/>
    <w:p/>
    <w:p/>
    <w:p/>
    <w:p/>
    <w:p/>
    <w:p/>
    <w:p/>
    <w:p/>
    <w:p/>
    <w:p/>
    <w:p>
      <w:pPr>
        <w:adjustRightInd w:val="0"/>
        <w:snapToGrid w:val="0"/>
        <w:jc w:val="center"/>
        <w:outlineLvl w:val="0"/>
        <w:rPr>
          <w:rFonts w:ascii="宋体" w:hAnsi="宋体" w:eastAsia="宋体" w:cs="Arial"/>
          <w:b/>
          <w:bCs/>
          <w:sz w:val="28"/>
          <w:szCs w:val="24"/>
        </w:rPr>
      </w:pPr>
      <w:r>
        <w:rPr>
          <w:rFonts w:hint="eastAsia" w:ascii="宋体" w:hAnsi="宋体" w:eastAsia="宋体" w:cs="Arial"/>
          <w:b/>
          <w:bCs/>
          <w:sz w:val="28"/>
          <w:szCs w:val="24"/>
        </w:rPr>
        <w:t xml:space="preserve"> </w:t>
      </w:r>
      <w:r>
        <w:rPr>
          <w:rFonts w:ascii="宋体" w:hAnsi="宋体" w:eastAsia="宋体" w:cs="Arial"/>
          <w:b/>
          <w:bCs/>
          <w:sz w:val="28"/>
          <w:szCs w:val="24"/>
        </w:rPr>
        <w:t xml:space="preserve">       </w:t>
      </w:r>
      <w:bookmarkStart w:id="0" w:name="_Toc69134502"/>
      <w:r>
        <w:rPr>
          <w:rFonts w:hint="eastAsia" w:ascii="宋体" w:hAnsi="宋体" w:eastAsia="宋体" w:cs="Arial"/>
          <w:b/>
          <w:bCs/>
          <w:sz w:val="28"/>
          <w:szCs w:val="24"/>
        </w:rPr>
        <w:t>基金管理人：国寿安保基金管理有限公司</w:t>
      </w:r>
      <w:bookmarkEnd w:id="0"/>
    </w:p>
    <w:p>
      <w:pPr>
        <w:adjustRightInd w:val="0"/>
        <w:snapToGrid w:val="0"/>
        <w:jc w:val="center"/>
        <w:outlineLvl w:val="0"/>
        <w:rPr>
          <w:rFonts w:ascii="宋体" w:hAnsi="宋体" w:eastAsia="宋体" w:cs="Arial"/>
          <w:b/>
          <w:bCs/>
          <w:sz w:val="28"/>
          <w:szCs w:val="24"/>
        </w:rPr>
      </w:pPr>
      <w:r>
        <w:rPr>
          <w:rFonts w:hint="eastAsia" w:ascii="宋体" w:hAnsi="宋体" w:eastAsia="宋体" w:cs="Arial"/>
          <w:b/>
          <w:bCs/>
          <w:sz w:val="28"/>
          <w:szCs w:val="24"/>
        </w:rPr>
        <w:t xml:space="preserve">        </w:t>
      </w:r>
      <w:bookmarkStart w:id="1" w:name="_Toc69134503"/>
      <w:r>
        <w:rPr>
          <w:rFonts w:hint="eastAsia" w:ascii="宋体" w:hAnsi="宋体" w:eastAsia="宋体" w:cs="Arial"/>
          <w:b/>
          <w:bCs/>
          <w:sz w:val="28"/>
          <w:szCs w:val="24"/>
        </w:rPr>
        <w:t>基金托管人：中国建设银行股份有限公司</w:t>
      </w:r>
      <w:bookmarkEnd w:id="1"/>
    </w:p>
    <w:p/>
    <w:p/>
    <w:p/>
    <w:p/>
    <w:p/>
    <w:p>
      <w:pPr>
        <w:adjustRightInd w:val="0"/>
        <w:snapToGrid w:val="0"/>
        <w:outlineLvl w:val="0"/>
        <w:rPr>
          <w:rFonts w:ascii="宋体" w:hAnsi="宋体" w:eastAsia="宋体" w:cs="Arial"/>
          <w:sz w:val="24"/>
          <w:szCs w:val="24"/>
        </w:rPr>
      </w:pPr>
      <w:r>
        <w:rPr>
          <w:rFonts w:hint="eastAsia" w:ascii="宋体" w:hAnsi="宋体" w:eastAsia="宋体" w:cs="Arial"/>
          <w:sz w:val="24"/>
          <w:szCs w:val="24"/>
        </w:rPr>
        <w:t xml:space="preserve">                            </w:t>
      </w:r>
      <w:bookmarkStart w:id="2" w:name="_Toc69134504"/>
      <w:r>
        <w:rPr>
          <w:rFonts w:hint="eastAsia" w:ascii="宋体" w:hAnsi="宋体" w:eastAsia="宋体" w:cs="Arial"/>
          <w:sz w:val="24"/>
          <w:szCs w:val="24"/>
        </w:rPr>
        <w:t>二零二二年二月</w:t>
      </w:r>
      <w:bookmarkEnd w:id="2"/>
    </w:p>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tabs>
          <w:tab w:val="right" w:leader="dot" w:pos="8494"/>
        </w:tabs>
        <w:spacing w:line="360" w:lineRule="auto"/>
        <w:rPr>
          <w:rFonts w:ascii="宋体" w:hAnsi="宋体" w:eastAsia="宋体" w:cs="Times New Roman"/>
          <w:sz w:val="28"/>
          <w:szCs w:val="24"/>
        </w:rPr>
      </w:pPr>
      <w:r>
        <w:rPr>
          <w:rFonts w:hint="eastAsia" w:ascii="宋体" w:hAnsi="宋体" w:eastAsia="宋体" w:cs="Times New Roman"/>
          <w:sz w:val="28"/>
          <w:szCs w:val="24"/>
        </w:rPr>
        <w:fldChar w:fldCharType="begin"/>
      </w:r>
      <w:r>
        <w:rPr>
          <w:rFonts w:hint="eastAsia" w:ascii="宋体" w:hAnsi="宋体" w:eastAsia="宋体" w:cs="Times New Roman"/>
          <w:sz w:val="28"/>
          <w:szCs w:val="24"/>
        </w:rPr>
        <w:instrText xml:space="preserve"> TOC \o "1-2" \h \z </w:instrText>
      </w:r>
      <w:r>
        <w:rPr>
          <w:rFonts w:hint="eastAsia" w:ascii="宋体" w:hAnsi="宋体" w:eastAsia="宋体" w:cs="Times New Roman"/>
          <w:sz w:val="28"/>
          <w:szCs w:val="24"/>
        </w:rPr>
        <w:fldChar w:fldCharType="separate"/>
      </w:r>
    </w:p>
    <w:sdt>
      <w:sdtPr>
        <w:rPr>
          <w:rFonts w:asciiTheme="minorHAnsi" w:hAnsiTheme="minorHAnsi" w:eastAsiaTheme="minorEastAsia" w:cstheme="minorBidi"/>
          <w:color w:val="auto"/>
          <w:kern w:val="2"/>
          <w:sz w:val="21"/>
          <w:szCs w:val="22"/>
          <w:lang w:val="zh-CN"/>
        </w:rPr>
        <w:id w:val="129571036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59"/>
            <w:spacing w:line="360" w:lineRule="auto"/>
            <w:jc w:val="center"/>
            <w:rPr>
              <w:b/>
              <w:bCs/>
              <w:color w:val="000000" w:themeColor="text1"/>
            </w:rPr>
          </w:pPr>
          <w:r>
            <w:rPr>
              <w:b/>
              <w:bCs/>
              <w:color w:val="000000" w:themeColor="text1"/>
              <w:lang w:val="zh-CN"/>
            </w:rPr>
            <w:t>目录</w:t>
          </w:r>
        </w:p>
        <w:p>
          <w:pPr>
            <w:pStyle w:val="12"/>
            <w:tabs>
              <w:tab w:val="right" w:leader="dot" w:pos="8494"/>
            </w:tabs>
            <w:spacing w:line="360" w:lineRule="auto"/>
          </w:pPr>
          <w:r>
            <w:fldChar w:fldCharType="begin"/>
          </w:r>
          <w:r>
            <w:instrText xml:space="preserve"> TOC \o "1-3" \h \z \u </w:instrText>
          </w:r>
          <w:r>
            <w:fldChar w:fldCharType="separate"/>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"_Toc69134505" </w:instrText>
          </w:r>
          <w:r>
            <w:fldChar w:fldCharType="separate"/>
          </w:r>
          <w:r>
            <w:rPr>
              <w:rStyle w:val="24"/>
              <w:rFonts w:cs="Times New Roman" w:asciiTheme="minorEastAsia" w:hAnsiTheme="minorEastAsia"/>
              <w:b/>
              <w:sz w:val="24"/>
              <w:szCs w:val="24"/>
            </w:rPr>
            <w:t>一、基金托管协议当事人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_Toc69134505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"_Toc69134506" </w:instrText>
          </w:r>
          <w:r>
            <w:fldChar w:fldCharType="separate"/>
          </w:r>
          <w:r>
            <w:rPr>
              <w:rStyle w:val="24"/>
              <w:rFonts w:cs="Times New Roman" w:asciiTheme="minorEastAsia" w:hAnsiTheme="minorEastAsia"/>
              <w:b/>
              <w:sz w:val="24"/>
              <w:szCs w:val="24"/>
            </w:rPr>
            <w:t>二、基金托管协议的依据、目的和原则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_Toc69134506 \h </w:instrText>
          </w:r>
          <w:r>
            <w:rPr>
              <w:rFonts w:asciiTheme="minorEastAsia" w:hAnsiTheme="minorEastAsia"/>
              <w:sz w:val="24"/>
              <w:szCs w:val="24"/>
            </w:rPr>
            <w:fldChar w:fldCharType="separate"/>
          </w:r>
          <w:r>
            <w:rPr>
              <w:rFonts w:asciiTheme="minorEastAsia" w:hAnsiTheme="minorEastAsia"/>
              <w:sz w:val="24"/>
              <w:szCs w:val="24"/>
            </w:rPr>
            <w:t>6</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"_Toc69134507" </w:instrText>
          </w:r>
          <w:r>
            <w:fldChar w:fldCharType="separate"/>
          </w:r>
          <w:r>
            <w:rPr>
              <w:rStyle w:val="24"/>
              <w:rFonts w:cs="Times New Roman" w:asciiTheme="minorEastAsia" w:hAnsiTheme="minorEastAsia"/>
              <w:b/>
              <w:sz w:val="24"/>
              <w:szCs w:val="24"/>
            </w:rPr>
            <w:t>三、基金托管人对基金管理人的业务监督和核查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_Toc69134507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"_Toc69134508" </w:instrText>
          </w:r>
          <w:r>
            <w:fldChar w:fldCharType="separate"/>
          </w:r>
          <w:r>
            <w:rPr>
              <w:rStyle w:val="24"/>
              <w:rFonts w:cs="Times New Roman" w:asciiTheme="minorEastAsia" w:hAnsiTheme="minorEastAsia"/>
              <w:b/>
              <w:sz w:val="24"/>
              <w:szCs w:val="24"/>
            </w:rPr>
            <w:t>四、基金管理人对基金托管人的业务核查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_Toc69134508 \h </w:instrText>
          </w:r>
          <w:r>
            <w:rPr>
              <w:rFonts w:asciiTheme="minorEastAsia" w:hAnsiTheme="minorEastAsia"/>
              <w:sz w:val="24"/>
              <w:szCs w:val="24"/>
            </w:rPr>
            <w:fldChar w:fldCharType="separate"/>
          </w:r>
          <w:r>
            <w:rPr>
              <w:rFonts w:asciiTheme="minorEastAsia" w:hAnsiTheme="minorEastAsia"/>
              <w:sz w:val="24"/>
              <w:szCs w:val="24"/>
            </w:rPr>
            <w:t>19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"_Toc69134509" </w:instrText>
          </w:r>
          <w:r>
            <w:fldChar w:fldCharType="separate"/>
          </w:r>
          <w:r>
            <w:rPr>
              <w:rStyle w:val="24"/>
              <w:rFonts w:cs="Times New Roman" w:asciiTheme="minorEastAsia" w:hAnsiTheme="minorEastAsia"/>
              <w:b/>
              <w:sz w:val="24"/>
              <w:szCs w:val="24"/>
            </w:rPr>
            <w:t>五、基金财产的保管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_Toc69134509 \h </w:instrText>
          </w:r>
          <w:r>
            <w:rPr>
              <w:rFonts w:asciiTheme="minorEastAsia" w:hAnsiTheme="minorEastAsia"/>
              <w:sz w:val="24"/>
              <w:szCs w:val="24"/>
            </w:rPr>
            <w:fldChar w:fldCharType="separate"/>
          </w:r>
          <w:r>
            <w:rPr>
              <w:rFonts w:asciiTheme="minorEastAsia" w:hAnsiTheme="minorEastAsia"/>
              <w:sz w:val="24"/>
              <w:szCs w:val="24"/>
            </w:rPr>
            <w:t>20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"_Toc69134510" </w:instrText>
          </w:r>
          <w:r>
            <w:fldChar w:fldCharType="separate"/>
          </w:r>
          <w:r>
            <w:rPr>
              <w:rStyle w:val="24"/>
              <w:rFonts w:cs="Times New Roman" w:asciiTheme="minorEastAsia" w:hAnsiTheme="minorEastAsia"/>
              <w:b/>
              <w:sz w:val="24"/>
              <w:szCs w:val="24"/>
            </w:rPr>
            <w:t>六、指令的发送、确认及执行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_Toc69134510 \h </w:instrText>
          </w:r>
          <w:r>
            <w:rPr>
              <w:rFonts w:asciiTheme="minorEastAsia" w:hAnsiTheme="minorEastAsia"/>
              <w:sz w:val="24"/>
              <w:szCs w:val="24"/>
            </w:rPr>
            <w:fldChar w:fldCharType="separate"/>
          </w:r>
          <w:r>
            <w:rPr>
              <w:rFonts w:asciiTheme="minorEastAsia" w:hAnsiTheme="minorEastAsia"/>
              <w:sz w:val="24"/>
              <w:szCs w:val="24"/>
            </w:rPr>
            <w:t>24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"_Toc69134511" </w:instrText>
          </w:r>
          <w:r>
            <w:fldChar w:fldCharType="separate"/>
          </w:r>
          <w:r>
            <w:rPr>
              <w:rStyle w:val="24"/>
              <w:rFonts w:cs="Times New Roman" w:asciiTheme="minorEastAsia" w:hAnsiTheme="minorEastAsia"/>
              <w:b/>
              <w:sz w:val="24"/>
              <w:szCs w:val="24"/>
            </w:rPr>
            <w:t>七、交易及清算交收安排</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_Toc69134511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"_Toc69134512" </w:instrText>
          </w:r>
          <w:r>
            <w:fldChar w:fldCharType="separate"/>
          </w:r>
          <w:r>
            <w:rPr>
              <w:rStyle w:val="24"/>
              <w:rFonts w:cs="Times New Roman" w:asciiTheme="minorEastAsia" w:hAnsiTheme="minorEastAsia"/>
              <w:b/>
              <w:sz w:val="24"/>
              <w:szCs w:val="24"/>
            </w:rPr>
            <w:t>八、基金资产净值计算和会计核算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_Toc69134512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"_Toc69134513" </w:instrText>
          </w:r>
          <w:r>
            <w:fldChar w:fldCharType="separate"/>
          </w:r>
          <w:r>
            <w:rPr>
              <w:rStyle w:val="24"/>
              <w:rFonts w:cs="Times New Roman" w:asciiTheme="minorEastAsia" w:hAnsiTheme="minorEastAsia"/>
              <w:b/>
              <w:sz w:val="24"/>
              <w:szCs w:val="24"/>
            </w:rPr>
            <w:t>九、基金收益分配</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_Toc69134513 \h </w:instrText>
          </w:r>
          <w:r>
            <w:rPr>
              <w:rFonts w:asciiTheme="minorEastAsia" w:hAnsiTheme="minorEastAsia"/>
              <w:sz w:val="24"/>
              <w:szCs w:val="24"/>
            </w:rPr>
            <w:fldChar w:fldCharType="separate"/>
          </w:r>
          <w:r>
            <w:rPr>
              <w:rFonts w:asciiTheme="minorEastAsia" w:hAnsiTheme="minorEastAsia"/>
              <w:sz w:val="24"/>
              <w:szCs w:val="24"/>
            </w:rPr>
            <w:t>39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"_Toc69134514" </w:instrText>
          </w:r>
          <w:r>
            <w:fldChar w:fldCharType="separate"/>
          </w:r>
          <w:r>
            <w:rPr>
              <w:rStyle w:val="24"/>
              <w:rFonts w:cs="Times New Roman" w:asciiTheme="minorEastAsia" w:hAnsiTheme="minorEastAsia"/>
              <w:b/>
              <w:sz w:val="24"/>
              <w:szCs w:val="24"/>
            </w:rPr>
            <w:t>十、基金信息披露</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_Toc69134514 \h </w:instrText>
          </w:r>
          <w:r>
            <w:rPr>
              <w:rFonts w:asciiTheme="minorEastAsia" w:hAnsiTheme="minorEastAsia"/>
              <w:sz w:val="24"/>
              <w:szCs w:val="24"/>
            </w:rPr>
            <w:fldChar w:fldCharType="separate"/>
          </w:r>
          <w:r>
            <w:rPr>
              <w:rFonts w:asciiTheme="minorEastAsia" w:hAnsiTheme="minorEastAsia"/>
              <w:sz w:val="24"/>
              <w:szCs w:val="24"/>
            </w:rPr>
            <w:t>40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"_Toc69134515" </w:instrText>
          </w:r>
          <w:r>
            <w:fldChar w:fldCharType="separate"/>
          </w:r>
          <w:r>
            <w:rPr>
              <w:rStyle w:val="24"/>
              <w:rFonts w:cs="Times New Roman" w:asciiTheme="minorEastAsia" w:hAnsiTheme="minorEastAsia"/>
              <w:b/>
              <w:sz w:val="24"/>
              <w:szCs w:val="24"/>
            </w:rPr>
            <w:t>十一、基金费用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_Toc69134515 \h </w:instrText>
          </w:r>
          <w:r>
            <w:rPr>
              <w:rFonts w:asciiTheme="minorEastAsia" w:hAnsiTheme="minorEastAsia"/>
              <w:sz w:val="24"/>
              <w:szCs w:val="24"/>
            </w:rPr>
            <w:fldChar w:fldCharType="separate"/>
          </w:r>
          <w:r>
            <w:rPr>
              <w:rFonts w:asciiTheme="minorEastAsia" w:hAnsiTheme="minorEastAsia"/>
              <w:sz w:val="24"/>
              <w:szCs w:val="24"/>
            </w:rPr>
            <w:t>42</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"_Toc69134516" </w:instrText>
          </w:r>
          <w:r>
            <w:fldChar w:fldCharType="separate"/>
          </w:r>
          <w:r>
            <w:rPr>
              <w:rStyle w:val="24"/>
              <w:rFonts w:cs="Times New Roman" w:asciiTheme="minorEastAsia" w:hAnsiTheme="minorEastAsia"/>
              <w:b/>
              <w:sz w:val="24"/>
              <w:szCs w:val="24"/>
            </w:rPr>
            <w:t>十二、基金份额持有人名册的保管</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_Toc69134516 \h </w:instrText>
          </w:r>
          <w:r>
            <w:rPr>
              <w:rFonts w:asciiTheme="minorEastAsia" w:hAnsiTheme="minorEastAsia"/>
              <w:sz w:val="24"/>
              <w:szCs w:val="24"/>
            </w:rPr>
            <w:fldChar w:fldCharType="separate"/>
          </w:r>
          <w:r>
            <w:rPr>
              <w:rFonts w:asciiTheme="minorEastAsia" w:hAnsiTheme="minorEastAsia"/>
              <w:sz w:val="24"/>
              <w:szCs w:val="24"/>
            </w:rPr>
            <w:t>45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"_Toc69134517" </w:instrText>
          </w:r>
          <w:r>
            <w:fldChar w:fldCharType="separate"/>
          </w:r>
          <w:r>
            <w:rPr>
              <w:rStyle w:val="24"/>
              <w:rFonts w:cs="Times New Roman" w:asciiTheme="minorEastAsia" w:hAnsiTheme="minorEastAsia"/>
              <w:b/>
              <w:sz w:val="24"/>
              <w:szCs w:val="24"/>
            </w:rPr>
            <w:t>十三、基金有关文件档案的保存</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_Toc69134517 \h </w:instrText>
          </w:r>
          <w:r>
            <w:rPr>
              <w:rFonts w:asciiTheme="minorEastAsia" w:hAnsiTheme="minorEastAsia"/>
              <w:sz w:val="24"/>
              <w:szCs w:val="24"/>
            </w:rPr>
            <w:fldChar w:fldCharType="separate"/>
          </w:r>
          <w:r>
            <w:rPr>
              <w:rFonts w:asciiTheme="minorEastAsia" w:hAnsiTheme="minorEastAsia"/>
              <w:sz w:val="24"/>
              <w:szCs w:val="24"/>
            </w:rPr>
            <w:t>46</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"_Toc69134518" </w:instrText>
          </w:r>
          <w:r>
            <w:fldChar w:fldCharType="separate"/>
          </w:r>
          <w:r>
            <w:rPr>
              <w:rStyle w:val="24"/>
              <w:rFonts w:cs="Times New Roman" w:asciiTheme="minorEastAsia" w:hAnsiTheme="minorEastAsia"/>
              <w:b/>
              <w:sz w:val="24"/>
              <w:szCs w:val="24"/>
            </w:rPr>
            <w:t>十四、基金管理人和基金托管人的更换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_Toc69134518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"_Toc69134519" </w:instrText>
          </w:r>
          <w:r>
            <w:fldChar w:fldCharType="separate"/>
          </w:r>
          <w:r>
            <w:rPr>
              <w:rStyle w:val="24"/>
              <w:rFonts w:cs="Times New Roman" w:asciiTheme="minorEastAsia" w:hAnsiTheme="minorEastAsia"/>
              <w:b/>
              <w:sz w:val="24"/>
              <w:szCs w:val="24"/>
            </w:rPr>
            <w:t>十五、禁止行为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_Toc69134519 \h </w:instrText>
          </w:r>
          <w:r>
            <w:rPr>
              <w:rFonts w:asciiTheme="minorEastAsia" w:hAnsiTheme="minorEastAsia"/>
              <w:sz w:val="24"/>
              <w:szCs w:val="24"/>
            </w:rPr>
            <w:fldChar w:fldCharType="separate"/>
          </w:r>
          <w:r>
            <w:rPr>
              <w:rFonts w:asciiTheme="minorEastAsia" w:hAnsiTheme="minorEastAsia"/>
              <w:sz w:val="24"/>
              <w:szCs w:val="24"/>
            </w:rPr>
            <w:t>50</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"_Toc69134520" </w:instrText>
          </w:r>
          <w:r>
            <w:fldChar w:fldCharType="separate"/>
          </w:r>
          <w:r>
            <w:rPr>
              <w:rStyle w:val="24"/>
              <w:rFonts w:cs="Times New Roman" w:asciiTheme="minorEastAsia" w:hAnsiTheme="minorEastAsia"/>
              <w:b/>
              <w:sz w:val="24"/>
              <w:szCs w:val="24"/>
            </w:rPr>
            <w:t>十六、托管协议的变更、终止与基金财产的清算</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_Toc69134520 \h </w:instrText>
          </w:r>
          <w:r>
            <w:rPr>
              <w:rFonts w:asciiTheme="minorEastAsia" w:hAnsiTheme="minorEastAsia"/>
              <w:sz w:val="24"/>
              <w:szCs w:val="24"/>
            </w:rPr>
            <w:fldChar w:fldCharType="separate"/>
          </w:r>
          <w:r>
            <w:rPr>
              <w:rFonts w:asciiTheme="minorEastAsia" w:hAnsiTheme="minorEastAsia"/>
              <w:sz w:val="24"/>
              <w:szCs w:val="24"/>
            </w:rPr>
            <w:t>51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"_Toc69134521" </w:instrText>
          </w:r>
          <w:r>
            <w:fldChar w:fldCharType="separate"/>
          </w:r>
          <w:r>
            <w:rPr>
              <w:rStyle w:val="24"/>
              <w:rFonts w:cs="Times New Roman" w:asciiTheme="minorEastAsia" w:hAnsiTheme="minorEastAsia"/>
              <w:b/>
              <w:sz w:val="24"/>
              <w:szCs w:val="24"/>
            </w:rPr>
            <w:t>十七、违约责任</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_Toc69134521 \h </w:instrText>
          </w:r>
          <w:r>
            <w:rPr>
              <w:rFonts w:asciiTheme="minorEastAsia" w:hAnsiTheme="minorEastAsia"/>
              <w:sz w:val="24"/>
              <w:szCs w:val="24"/>
            </w:rPr>
            <w:fldChar w:fldCharType="separate"/>
          </w:r>
          <w:r>
            <w:rPr>
              <w:rFonts w:asciiTheme="minorEastAsia" w:hAnsiTheme="minorEastAsia"/>
              <w:sz w:val="24"/>
              <w:szCs w:val="24"/>
            </w:rPr>
            <w:t>53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"_Toc69134522" </w:instrText>
          </w:r>
          <w:r>
            <w:fldChar w:fldCharType="separate"/>
          </w:r>
          <w:r>
            <w:rPr>
              <w:rStyle w:val="24"/>
              <w:rFonts w:cs="Times New Roman" w:asciiTheme="minorEastAsia" w:hAnsiTheme="minorEastAsia"/>
              <w:b/>
              <w:sz w:val="24"/>
              <w:szCs w:val="24"/>
            </w:rPr>
            <w:t>十八、争议解决方式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_Toc69134522 \h </w:instrText>
          </w:r>
          <w:r>
            <w:rPr>
              <w:rFonts w:asciiTheme="minorEastAsia" w:hAnsiTheme="minorEastAsia"/>
              <w:sz w:val="24"/>
              <w:szCs w:val="24"/>
            </w:rPr>
            <w:fldChar w:fldCharType="separate"/>
          </w:r>
          <w:r>
            <w:rPr>
              <w:rFonts w:asciiTheme="minorEastAsia" w:hAnsiTheme="minorEastAsia"/>
              <w:sz w:val="24"/>
              <w:szCs w:val="24"/>
            </w:rPr>
            <w:t>55</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"_Toc69134523" </w:instrText>
          </w:r>
          <w:r>
            <w:fldChar w:fldCharType="separate"/>
          </w:r>
          <w:r>
            <w:rPr>
              <w:rStyle w:val="24"/>
              <w:rFonts w:cs="Times New Roman" w:asciiTheme="minorEastAsia" w:hAnsiTheme="minorEastAsia"/>
              <w:b/>
              <w:sz w:val="24"/>
              <w:szCs w:val="24"/>
            </w:rPr>
            <w:t>十九、托管协议的效力</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_Toc69134523 \h </w:instrText>
          </w:r>
          <w:r>
            <w:rPr>
              <w:rFonts w:asciiTheme="minorEastAsia" w:hAnsiTheme="minorEastAsia"/>
              <w:sz w:val="24"/>
              <w:szCs w:val="24"/>
            </w:rPr>
            <w:fldChar w:fldCharType="separate"/>
          </w:r>
          <w:r>
            <w:rPr>
              <w:rFonts w:asciiTheme="minorEastAsia" w:hAnsiTheme="minorEastAsia"/>
              <w:sz w:val="24"/>
              <w:szCs w:val="24"/>
            </w:rPr>
            <w:t>56</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rPr>
              <w:rFonts w:asciiTheme="minorEastAsia" w:hAnsiTheme="minorEastAsia"/>
              <w:sz w:val="24"/>
              <w:szCs w:val="24"/>
            </w:rPr>
          </w:pPr>
          <w:r>
            <w:fldChar w:fldCharType="begin"/>
          </w:r>
          <w:r>
            <w:instrText xml:space="preserve"> HYPERLINK \l "_Toc69134524" </w:instrText>
          </w:r>
          <w:r>
            <w:fldChar w:fldCharType="separate"/>
          </w:r>
          <w:r>
            <w:rPr>
              <w:rStyle w:val="24"/>
              <w:rFonts w:cs="Times New Roman" w:asciiTheme="minorEastAsia" w:hAnsiTheme="minorEastAsia"/>
              <w:b/>
              <w:sz w:val="24"/>
              <w:szCs w:val="24"/>
            </w:rPr>
            <w:t>二十、其他事项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_Toc69134524 \h </w:instrText>
          </w:r>
          <w:r>
            <w:rPr>
              <w:rFonts w:asciiTheme="minorEastAsia" w:hAnsiTheme="minorEastAsia"/>
              <w:sz w:val="24"/>
              <w:szCs w:val="24"/>
            </w:rPr>
            <w:fldChar w:fldCharType="separate"/>
          </w:r>
          <w:r>
            <w:rPr>
              <w:rFonts w:asciiTheme="minorEastAsia" w:hAnsiTheme="minorEastAsia"/>
              <w:sz w:val="24"/>
              <w:szCs w:val="24"/>
            </w:rPr>
            <w:t>57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8494"/>
            </w:tabs>
            <w:spacing w:line="360" w:lineRule="auto"/>
          </w:pPr>
          <w:r>
            <w:fldChar w:fldCharType="begin"/>
          </w:r>
          <w:r>
            <w:instrText xml:space="preserve"> HYPERLINK \l "_Toc69134525" </w:instrText>
          </w:r>
          <w:r>
            <w:fldChar w:fldCharType="separate"/>
          </w:r>
          <w:r>
            <w:rPr>
              <w:rStyle w:val="24"/>
              <w:rFonts w:cs="Times New Roman" w:asciiTheme="minorEastAsia" w:hAnsiTheme="minorEastAsia"/>
              <w:b/>
              <w:sz w:val="24"/>
              <w:szCs w:val="24"/>
            </w:rPr>
            <w:t>二十一、托管协议的签订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_Toc69134525 \h </w:instrText>
          </w:r>
          <w:r>
            <w:rPr>
              <w:rFonts w:asciiTheme="minorEastAsia" w:hAnsiTheme="minorEastAsia"/>
              <w:sz w:val="24"/>
              <w:szCs w:val="24"/>
            </w:rPr>
            <w:fldChar w:fldCharType="separate"/>
          </w:r>
          <w:r>
            <w:rPr>
              <w:rFonts w:asciiTheme="minorEastAsia" w:hAnsiTheme="minorEastAsia"/>
              <w:sz w:val="24"/>
              <w:szCs w:val="24"/>
            </w:rPr>
            <w:t>58</w:t>
          </w:r>
          <w:r>
            <w:rPr>
              <w:rFonts w:asciiTheme="minorEastAsia" w:hAnsiTheme="minorEastAsia"/>
              <w:sz w:val="24"/>
              <w:szCs w:val="24"/>
            </w:rPr>
            <w:fldChar w:fldCharType="end"/>
          </w:r>
          <w:r>
            <w:rPr>
              <w:rFonts w:asciiTheme="minorEastAsia" w:hAnsiTheme="minorEastAsia"/>
              <w:sz w:val="24"/>
              <w:szCs w:val="24"/>
            </w:rPr>
            <w:fldChar w:fldCharType="end"/>
          </w:r>
        </w:p>
        <w:p>
          <w:pPr>
            <w:spacing w:line="360" w:lineRule="auto"/>
          </w:pPr>
          <w:r>
            <w:rPr>
              <w:b/>
              <w:bCs/>
              <w:lang w:val="zh-CN"/>
            </w:rPr>
            <w:fldChar w:fldCharType="end"/>
          </w:r>
        </w:p>
      </w:sdtContent>
    </w:sdt>
    <w:p>
      <w:pPr>
        <w:tabs>
          <w:tab w:val="right" w:leader="dot" w:pos="8494"/>
        </w:tabs>
        <w:ind w:left="3360" w:leftChars="1600"/>
        <w:jc w:val="center"/>
        <w:rPr>
          <w:rFonts w:ascii="宋体" w:hAnsi="宋体" w:eastAsia="宋体" w:cs="Times New Roman"/>
          <w:sz w:val="28"/>
          <w:szCs w:val="24"/>
        </w:rPr>
      </w:pPr>
    </w:p>
    <w:p>
      <w:pPr>
        <w:rPr>
          <w:rFonts w:ascii="宋体" w:hAnsi="宋体" w:eastAsia="宋体" w:cs="Times New Roman"/>
          <w:sz w:val="28"/>
          <w:szCs w:val="24"/>
        </w:rPr>
      </w:pPr>
      <w:r>
        <w:rPr>
          <w:rFonts w:hint="eastAsia" w:ascii="宋体" w:hAnsi="宋体" w:eastAsia="宋体" w:cs="Times New Roman"/>
          <w:sz w:val="28"/>
          <w:szCs w:val="24"/>
        </w:rPr>
        <w:fldChar w:fldCharType="end"/>
      </w: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4"/>
          <w:szCs w:val="24"/>
        </w:rPr>
      </w:pP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鉴于国寿安保基金管理有限公司系一家依照中国法律合法成立并有效存续的有限责任公司，按照相关法律法规的规定具备担任基金管理人的资格和能力，拟募集发行国寿安保养老目标日期2030三年持有期混合型发起式基金中基金（FOF）；</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鉴于中国建设银行股份有限公司系一家依照中国法律合法成立并有效存续的银行，按照相关法律法规的规定具备担任基金托管人的资格和能力；</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鉴于国寿安保基金管理有限公司拟担任国寿安保养老目标日期2030三年持有期混合型发起式基金中基金（FOF）的基金管理人，中国建设银行股份有限公司拟担任国寿安保养老目标日期2030三年持有期混合型发起式基金中基金（FOF）的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为明确证券投资基金的基金管理人和基金托管人之间的权利义务关系，特制订本托管协议；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除非另有约定，《国寿安保养老目标日期2030三年持有期混合型发起式基金中基金（FOF）基金合同》(以下简称“基金合同”)中定义的术语在用于本托管协议时应具有相同的含义；若有抵触应以《基金合同》为准，并依其条款解释。</w:t>
      </w: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rPr>
          <w:rFonts w:ascii="宋体" w:hAnsi="宋体" w:eastAsia="宋体" w:cs="Times New Roman"/>
          <w:sz w:val="24"/>
          <w:szCs w:val="24"/>
          <w:lang w:val="en-GB"/>
        </w:rPr>
      </w:pPr>
    </w:p>
    <w:p>
      <w:pPr>
        <w:keepNext/>
        <w:keepLines/>
        <w:spacing w:before="260" w:after="260" w:line="416" w:lineRule="auto"/>
        <w:jc w:val="center"/>
        <w:outlineLvl w:val="1"/>
        <w:rPr>
          <w:rFonts w:ascii="宋体" w:hAnsi="宋体" w:eastAsia="宋体" w:cs="Times New Roman"/>
          <w:b/>
          <w:sz w:val="32"/>
          <w:szCs w:val="20"/>
        </w:rPr>
      </w:pPr>
      <w:bookmarkStart w:id="3" w:name="_Toc69134505"/>
      <w:bookmarkStart w:id="4" w:name="_Toc124325885"/>
      <w:r>
        <w:rPr>
          <w:rFonts w:hint="eastAsia" w:ascii="宋体" w:hAnsi="宋体" w:eastAsia="宋体" w:cs="Times New Roman"/>
          <w:b/>
          <w:sz w:val="32"/>
          <w:szCs w:val="20"/>
        </w:rPr>
        <w:t>一、基金托管协议当事人</w:t>
      </w:r>
      <w:bookmarkEnd w:id="3"/>
      <w:bookmarkEnd w:id="4"/>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名称：国寿安保基金管理有限公司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住所：</w:t>
      </w:r>
      <w:r>
        <w:rPr>
          <w:rFonts w:hint="eastAsia" w:asciiTheme="minorEastAsia" w:hAnsiTheme="minorEastAsia"/>
          <w:bCs/>
          <w:sz w:val="24"/>
          <w:szCs w:val="24"/>
        </w:rPr>
        <w:t>上海市虹口区丰镇路806号3幢306号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办公地址：北京市西城区金融大街28号院2号楼盈泰商务中心1</w:t>
      </w:r>
      <w:r>
        <w:rPr>
          <w:rFonts w:asciiTheme="minorEastAsia" w:hAnsiTheme="minorEastAsia"/>
          <w:sz w:val="24"/>
          <w:szCs w:val="24"/>
        </w:rPr>
        <w:t>0</w:t>
      </w: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、12层</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邮政编码：100033</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法定代表人：王军辉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成立日期：2013年10月29日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批准设立机关及批准设立文号：</w:t>
      </w:r>
      <w:r>
        <w:rPr>
          <w:rFonts w:asciiTheme="minorEastAsia" w:hAnsiTheme="minorEastAsia"/>
          <w:sz w:val="24"/>
          <w:szCs w:val="24"/>
        </w:rPr>
        <w:t>中国证监会证监许可[2013]1308号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组织形式：有限责任公司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注册资本：1</w:t>
      </w:r>
      <w:r>
        <w:rPr>
          <w:rFonts w:asciiTheme="minorEastAsia" w:hAnsiTheme="minorEastAsia"/>
          <w:sz w:val="24"/>
          <w:szCs w:val="24"/>
        </w:rPr>
        <w:t>2.88</w:t>
      </w:r>
      <w:r>
        <w:rPr>
          <w:rFonts w:hint="eastAsia" w:asciiTheme="minorEastAsia" w:hAnsiTheme="minorEastAsia"/>
          <w:sz w:val="24"/>
          <w:szCs w:val="24"/>
        </w:rPr>
        <w:t>亿元人民币</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存续期间：</w:t>
      </w:r>
      <w:r>
        <w:rPr>
          <w:rFonts w:asciiTheme="minorEastAsia" w:hAnsiTheme="minorEastAsia"/>
          <w:sz w:val="24"/>
          <w:szCs w:val="24"/>
        </w:rPr>
        <w:t>持续经营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经营范围：</w:t>
      </w:r>
      <w:r>
        <w:rPr>
          <w:rFonts w:asciiTheme="minorEastAsia" w:hAnsiTheme="minorEastAsia"/>
          <w:sz w:val="24"/>
          <w:szCs w:val="24"/>
        </w:rPr>
        <w:t>基金募集、基金销售、资产管理和中国证监会许可的其他业务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名称：中国建设银行股份有限公司(简称：中国建设银行)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住所：北京市西城区金融大街25号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办公地址：北京市西城区闹市口大街1号院1号楼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邮政编码：100033</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法定代表人：田国立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成立日期：2004年09月17日</w:t>
      </w:r>
    </w:p>
    <w:p>
      <w:pPr>
        <w:spacing w:line="400" w:lineRule="auto"/>
        <w:ind w:firstLine="480" w:firstLineChars="200"/>
        <w:rPr>
          <w:bCs/>
          <w:sz w:val="24"/>
        </w:rPr>
      </w:pPr>
      <w:r>
        <w:rPr>
          <w:rFonts w:hint="eastAsia"/>
          <w:bCs/>
          <w:sz w:val="24"/>
        </w:rPr>
        <w:t>批准设立机关和批准设立文号：中国银行业监督管理委员会银监复【2004】143号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基金托管业务批准文号：中国证监会证监基字[1998</w:t>
      </w:r>
      <w:bookmarkStart w:id="5" w:name="OLE_LINK3"/>
      <w:r>
        <w:rPr>
          <w:rFonts w:hint="eastAsia" w:asciiTheme="minorEastAsia" w:hAnsiTheme="minorEastAsia"/>
          <w:sz w:val="24"/>
          <w:szCs w:val="24"/>
        </w:rPr>
        <w:t>]</w:t>
      </w:r>
      <w:bookmarkEnd w:id="5"/>
      <w:r>
        <w:rPr>
          <w:rFonts w:hint="eastAsia" w:asciiTheme="minorEastAsia" w:hAnsiTheme="minorEastAsia"/>
          <w:sz w:val="24"/>
          <w:szCs w:val="24"/>
        </w:rPr>
        <w:t>12号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组织形式：股份有限公司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注册资本：</w:t>
      </w:r>
      <w:r>
        <w:rPr>
          <w:rFonts w:hint="eastAsia" w:cs="Times New Roman" w:asciiTheme="minorEastAsia" w:hAnsiTheme="minorEastAsia"/>
          <w:sz w:val="24"/>
          <w:szCs w:val="24"/>
        </w:rPr>
        <w:t>贰仟伍佰亿壹仟零玖拾柒万柒仟肆佰捌拾陆元整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存续期间：持续经营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spacing w:line="400" w:lineRule="auto"/>
        <w:rPr>
          <w:rFonts w:cs="Times New Roman" w:asciiTheme="minorEastAsia" w:hAnsiTheme="minorEastAsia"/>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6" w:name="_Toc124325886"/>
      <w:bookmarkStart w:id="7" w:name="_Toc69134506"/>
      <w:r>
        <w:rPr>
          <w:rFonts w:hint="eastAsia" w:ascii="宋体" w:hAnsi="宋体" w:eastAsia="宋体" w:cs="Times New Roman"/>
          <w:b/>
          <w:sz w:val="30"/>
          <w:szCs w:val="20"/>
        </w:rPr>
        <w:t>二、基金托管协议的依据、目的和原则</w:t>
      </w:r>
      <w:bookmarkEnd w:id="6"/>
      <w:bookmarkEnd w:id="7"/>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（一）订立托管协议的依据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本协议依据《中华人民共和国证券投资基金法》(以下简称“《基金法》”)等有关法律法规、《基金合同》及其他有关规定制订。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（二）订立托管协议的目的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（三）订立托管协议的原则</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基金管理人和基金托管人本着平等自愿、诚实信用、充分保护基金份额持有人合法权益的原则，经协商一致，签订本协议。</w:t>
      </w: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keepNext/>
        <w:keepLines/>
        <w:spacing w:before="260" w:after="260" w:line="416" w:lineRule="auto"/>
        <w:jc w:val="center"/>
        <w:outlineLvl w:val="1"/>
        <w:rPr>
          <w:rFonts w:ascii="宋体" w:hAnsi="宋体" w:eastAsia="宋体" w:cs="Times New Roman"/>
          <w:b/>
          <w:sz w:val="30"/>
          <w:szCs w:val="24"/>
        </w:rPr>
      </w:pPr>
      <w:bookmarkStart w:id="8" w:name="_Toc124325887"/>
      <w:bookmarkStart w:id="9" w:name="_Toc69134507"/>
      <w:r>
        <w:rPr>
          <w:rFonts w:hint="eastAsia" w:ascii="宋体" w:hAnsi="宋体" w:eastAsia="宋体" w:cs="Times New Roman"/>
          <w:b/>
          <w:sz w:val="30"/>
          <w:szCs w:val="20"/>
        </w:rPr>
        <w:t>三、基金托管人对基金管理人的业务监督和核查</w:t>
      </w:r>
      <w:bookmarkEnd w:id="8"/>
      <w:bookmarkEnd w:id="9"/>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本基金的投资范围为主要投资于经中国证监会依法核准或注册的公开募集证券投资</w:t>
      </w:r>
      <w:r>
        <w:rPr>
          <w:rFonts w:asciiTheme="minorEastAsia" w:hAnsiTheme="minorEastAsia"/>
          <w:sz w:val="24"/>
          <w:szCs w:val="24"/>
        </w:rPr>
        <w:t>基金</w:t>
      </w:r>
      <w:r>
        <w:rPr>
          <w:rFonts w:hint="eastAsia"/>
          <w:bCs/>
          <w:sz w:val="24"/>
          <w:szCs w:val="24"/>
        </w:rPr>
        <w:t>（含QDII基金、香港互认基金）</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为更好地实现投资目标，本基金还可投资于股票（包含创业板及其他中国证监会核准或注册上市的股票）、债券（包含国债、央行票据、地方政府债、金融债、企业债、公司债、公开发行的次级债、可转换债券（含分离交易可转债）、可交换债券、央行票据、中期票据、短期融资券（含超短期融资券））、资产支持证券、债券回购、银行存款、同业存单、货币市场工具及法律法规或中国证监会允许基金投资的其他金融工具（但须符合中国证监会的相关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如法律法规或监管机构以后允许基金投资其他品种，基金管理人在履行适当程序后，可以将其纳入投资范围。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为混合型基金中基金（FOF），投资于证券投资基金的比例不低于基金资产的80%，投资于股票、股票型证券投资基金、混合型证券投资基金、商品基金（含商品期货基金和黄金ETF）等品种的比例合计原则上不高于基金资产的60%，持有现金或到期日在一年以内的政府债券的投资比例合计不低于基金资产净值的5%。本基金所指的现金不包括结算备付金、存出保证金、应收申购款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随着所设定目标日期的临近，逐步降低权益类资产的配置比例，增加非权益类资产的配置比例。权益类资产包括股票、股票型证券投资基金和混合型证券投资基金。权益类资产中的混合型证券投资基金包含以下两类：第一类是在基金合同中约定投资于股票资产占基金资产的比例在60%以上的混合型证券投资基金；第二类是过去最近4个季度定期报告中披露的股票资产占基金资产的比例均在60%以上的混合型证券投资基金。</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szCs w:val="24"/>
        </w:rPr>
      </w:pPr>
      <w:r>
        <w:rPr>
          <w:rFonts w:hint="eastAsia"/>
          <w:bCs/>
          <w:sz w:val="24"/>
          <w:szCs w:val="24"/>
        </w:rPr>
        <w:t>本基金各个时间段的资产配置比例如下表所示：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0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时间段</w:t>
            </w:r>
          </w:p>
        </w:tc>
        <w:tc>
          <w:tcPr>
            <w:tcW w:w="240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权益类资产占比（%）</w:t>
            </w:r>
          </w:p>
        </w:tc>
        <w:tc>
          <w:tcPr>
            <w:tcW w:w="274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非权益类资产占比（%）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基金合同生效日至2024年</w:t>
            </w:r>
          </w:p>
        </w:tc>
        <w:tc>
          <w:tcPr>
            <w:tcW w:w="2405" w:type="dxa"/>
            <w:vAlign w:val="center"/>
          </w:tcPr>
          <w:p>
            <w:pPr>
              <w:spacing w:line="360" w:lineRule="auto"/>
              <w:ind w:firstLine="480"/>
              <w:jc w:val="center"/>
              <w:rPr>
                <w:rFonts w:ascii="Times New Roman" w:hAnsi="Times New Roman" w:eastAsia="宋体" w:cs="Times New Roman"/>
                <w:bCs/>
                <w:kern w:val="0"/>
                <w:sz w:val="24"/>
                <w:szCs w:val="24"/>
              </w:rPr>
            </w:pPr>
            <w:r>
              <w:rPr>
                <w:rFonts w:hint="eastAsia" w:ascii="宋体" w:hAnsi="宋体" w:eastAsia="宋体" w:cs="Times New Roman"/>
                <w:bCs/>
                <w:kern w:val="0"/>
                <w:sz w:val="24"/>
                <w:szCs w:val="30"/>
              </w:rPr>
              <w:t>35</w:t>
            </w:r>
            <w:r>
              <w:rPr>
                <w:rFonts w:ascii="宋体" w:hAnsi="宋体" w:eastAsia="宋体" w:cs="Times New Roman"/>
                <w:bCs/>
                <w:kern w:val="0"/>
                <w:sz w:val="24"/>
                <w:szCs w:val="30"/>
              </w:rPr>
              <w:t>-60</w:t>
            </w:r>
          </w:p>
        </w:tc>
        <w:tc>
          <w:tcPr>
            <w:tcW w:w="2745" w:type="dxa"/>
            <w:vAlign w:val="center"/>
          </w:tcPr>
          <w:p>
            <w:pPr>
              <w:spacing w:line="360" w:lineRule="auto"/>
              <w:ind w:firstLine="480"/>
              <w:jc w:val="center"/>
              <w:rPr>
                <w:rFonts w:ascii="Times New Roman" w:hAnsi="Times New Roman" w:eastAsia="宋体" w:cs="Times New Roman"/>
                <w:bCs/>
                <w:kern w:val="0"/>
                <w:sz w:val="24"/>
                <w:szCs w:val="24"/>
              </w:rPr>
            </w:pPr>
            <w:r>
              <w:rPr>
                <w:rFonts w:ascii="宋体" w:hAnsi="宋体" w:eastAsia="宋体" w:cs="Times New Roman"/>
                <w:bCs/>
                <w:kern w:val="0"/>
                <w:sz w:val="24"/>
                <w:szCs w:val="30"/>
              </w:rPr>
              <w:t>40-</w:t>
            </w:r>
            <w:r>
              <w:rPr>
                <w:rFonts w:hint="eastAsia" w:ascii="宋体" w:hAnsi="宋体" w:eastAsia="宋体" w:cs="Times New Roman"/>
                <w:bCs/>
                <w:kern w:val="0"/>
                <w:sz w:val="24"/>
                <w:szCs w:val="3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2025年至2027年</w:t>
            </w:r>
          </w:p>
        </w:tc>
        <w:tc>
          <w:tcPr>
            <w:tcW w:w="2405" w:type="dxa"/>
            <w:vAlign w:val="center"/>
          </w:tcPr>
          <w:p>
            <w:pPr>
              <w:spacing w:line="360" w:lineRule="auto"/>
              <w:ind w:firstLine="480"/>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20-</w:t>
            </w:r>
            <w:r>
              <w:rPr>
                <w:rFonts w:ascii="Times New Roman" w:hAnsi="Times New Roman" w:eastAsia="宋体" w:cs="Times New Roman"/>
                <w:bCs/>
                <w:kern w:val="0"/>
                <w:sz w:val="24"/>
                <w:szCs w:val="24"/>
              </w:rPr>
              <w:t>4</w:t>
            </w:r>
            <w:r>
              <w:rPr>
                <w:rFonts w:hint="eastAsia" w:ascii="Times New Roman" w:hAnsi="Times New Roman" w:eastAsia="宋体" w:cs="Times New Roman"/>
                <w:bCs/>
                <w:kern w:val="0"/>
                <w:sz w:val="24"/>
                <w:szCs w:val="24"/>
              </w:rPr>
              <w:t>5</w:t>
            </w:r>
          </w:p>
        </w:tc>
        <w:tc>
          <w:tcPr>
            <w:tcW w:w="2745" w:type="dxa"/>
            <w:vAlign w:val="center"/>
          </w:tcPr>
          <w:p>
            <w:pPr>
              <w:spacing w:line="360" w:lineRule="auto"/>
              <w:ind w:firstLine="480"/>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55-</w:t>
            </w:r>
            <w:r>
              <w:rPr>
                <w:rFonts w:ascii="Times New Roman" w:hAnsi="Times New Roman" w:eastAsia="宋体" w:cs="Times New Roman"/>
                <w:bCs/>
                <w:kern w:val="0"/>
                <w:sz w:val="24"/>
                <w:szCs w:val="24"/>
              </w:rPr>
              <w:t>8</w:t>
            </w:r>
            <w:r>
              <w:rPr>
                <w:rFonts w:hint="eastAsia" w:ascii="Times New Roman" w:hAnsi="Times New Roman" w:eastAsia="宋体" w:cs="Times New Roman"/>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2028年至</w:t>
            </w:r>
            <w:r>
              <w:rPr>
                <w:rFonts w:hint="eastAsia" w:ascii="Times New Roman" w:hAnsi="Times New Roman" w:eastAsia="宋体" w:cs="Times New Roman"/>
                <w:bCs/>
                <w:kern w:val="0"/>
                <w:sz w:val="24"/>
                <w:szCs w:val="24"/>
              </w:rPr>
              <w:t>2030年</w:t>
            </w:r>
          </w:p>
        </w:tc>
        <w:tc>
          <w:tcPr>
            <w:tcW w:w="240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w:t>
            </w:r>
            <w:r>
              <w:rPr>
                <w:rFonts w:hint="eastAsia" w:ascii="Times New Roman" w:hAnsi="Times New Roman" w:eastAsia="宋体" w:cs="Times New Roman"/>
                <w:bCs/>
                <w:kern w:val="0"/>
                <w:sz w:val="24"/>
                <w:szCs w:val="24"/>
              </w:rPr>
              <w:t>0-</w:t>
            </w:r>
            <w:r>
              <w:rPr>
                <w:rFonts w:ascii="Times New Roman" w:hAnsi="Times New Roman" w:eastAsia="宋体" w:cs="Times New Roman"/>
                <w:bCs/>
                <w:kern w:val="0"/>
                <w:sz w:val="24"/>
                <w:szCs w:val="24"/>
              </w:rPr>
              <w:t>3</w:t>
            </w:r>
            <w:r>
              <w:rPr>
                <w:rFonts w:hint="eastAsia" w:ascii="Times New Roman" w:hAnsi="Times New Roman" w:eastAsia="宋体" w:cs="Times New Roman"/>
                <w:bCs/>
                <w:kern w:val="0"/>
                <w:sz w:val="24"/>
                <w:szCs w:val="24"/>
              </w:rPr>
              <w:t>5</w:t>
            </w:r>
          </w:p>
        </w:tc>
        <w:tc>
          <w:tcPr>
            <w:tcW w:w="2745" w:type="dxa"/>
            <w:vAlign w:val="center"/>
          </w:tcPr>
          <w:p>
            <w:pPr>
              <w:spacing w:line="360" w:lineRule="auto"/>
              <w:ind w:firstLine="480"/>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6</w:t>
            </w:r>
            <w:r>
              <w:rPr>
                <w:rFonts w:hint="eastAsia" w:ascii="Times New Roman" w:hAnsi="Times New Roman" w:eastAsia="宋体" w:cs="Times New Roman"/>
                <w:bCs/>
                <w:kern w:val="0"/>
                <w:sz w:val="24"/>
                <w:szCs w:val="24"/>
              </w:rPr>
              <w:t>5</w:t>
            </w:r>
            <w:r>
              <w:rPr>
                <w:rFonts w:ascii="Times New Roman" w:hAnsi="Times New Roman" w:eastAsia="宋体" w:cs="Times New Roman"/>
                <w:bCs/>
                <w:kern w:val="0"/>
                <w:sz w:val="24"/>
                <w:szCs w:val="24"/>
              </w:rPr>
              <w:t>-</w:t>
            </w:r>
            <w:r>
              <w:rPr>
                <w:rFonts w:hint="eastAsia" w:ascii="Times New Roman" w:hAnsi="Times New Roman" w:eastAsia="宋体" w:cs="Times New Roman"/>
                <w:bCs/>
                <w:kern w:val="0"/>
                <w:sz w:val="24"/>
                <w:szCs w:val="24"/>
              </w:rPr>
              <w:t>90</w:t>
            </w:r>
          </w:p>
        </w:tc>
      </w:tr>
    </w:tbl>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目标日期到达后，本基金投资范围为：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本基金主要投资于经中国证监会依法核准或注册的公开募集证券投资基金</w:t>
      </w:r>
      <w:r>
        <w:rPr>
          <w:rFonts w:hint="eastAsia"/>
          <w:bCs/>
          <w:sz w:val="24"/>
          <w:szCs w:val="24"/>
        </w:rPr>
        <w:t>（含QDII基金、香港互认基金）</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为更好地实现投资目标，本基金还可投资于股票（包含中小板、创业板及其他中国证监会核准或注册上市的股票）、债券（包含国债、央行票据、地方政府债、金融债、企业债、公司债、公开发行的次级债、可转换债券（含分离交易可转债）、可交换债券、央行票据、中期票据、短期融资券（含超短期融资券））、资产支持证券、债券回购、银行存款、同业存单、货币市场工具及法律法规或中国证监会允许基金投资的其他金融工具（但须符合中国证监会的相关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如法律法规或监管机构以后允许基金投资其他品种，基金管理人在履行适当程序后，可以将其纳入投资范围。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为混合型基金中基金（FOF），投资于证券投资基金的比例不低于基金资产的80%，投资于股票、股票型证券投资基金、混合型证券投资基金、商品基金（含商品期货基金和黄金ETF）等品种的比例合计原则上不高于基金资产的20%，持有现金或到期日在一年以内的政府债券的投资比例合计不低于基金资产净值的5%。本基金所指的现金不包括结算备付金、存出保证金、应收申购款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（二）基金托管人根据有关法律法规的规定及《基金合同》的约定，对基金投资、融资比例进行监督。基金托管人按下述比例和调整期限进行监督：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1、本基金中基金的投资组合将遵循以下比例限制：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（1）本基金投资于证券投资基金的比例不低于基金资产的80%，投资于股票、股票型证券投资基金、混合型证券投资基金、商品基金（含商品期货基金和黄金ETF）等品种的比例合计原则上不高于基金资产的60%；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（2）本基金持有现金或到期日在一年以内的政府债券的投资比例合计不低于基金资产净值的5%；本基金所指的现金不包括结算备付金、存出保证金、应收申购款等；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本基金持有单只证券投资基金的市值不超过本基金资产净值的20%，且不得投资于其他基金中基金，本基金不得持有具有复杂、衍生品性质的基金份额，包括分级基金和中国证监会认定的其他基金份额，中国证监会认可或者批准的特殊基金中基金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（4）基金管理人管理的且由本基金托管人托管的全部基金中基金（ETF联接基金除外）持有单只证券投资基金不得超过被投资基金净资产的20%，被投资基金净资产规模以最近定期报告披露的规模为准；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（5）本基金投资的证券投资基金，应当满足以下条件：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1）被投资基金的运作期限应当不少于2年，最近2年平均季末基金净资产应当不低于2亿元；被投资基金为指数基金、ETF 和商品基金等品种的，运作期限应当不少于1 年，最近定期报告披露的季末基金净资产应当不低于1亿元；</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）被投资基金运作合规，风格清晰，中长期收益良好，业绩波动性较低；</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）被投资基金的基金管理人及基金经理最近2年没有重大违法违规行为。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（6）投资于封闭运作基金、定期开放基金等流通受限基金资产合计不得超过基金资产净值的10%；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（7）本基金持有一家公司发行的证券（不包括基金份额），其市值不超过基金资产净值的10%；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（8）基金管理人管理的且由本基金托管人托管的全部基金持有一家公司发行的证券（不包括基金份额），不超过该证券的10%；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（9）基金财产参与股票发行申购，本基金所申报的金额不超过本基金的总资产，本基金所申报的股票数量不超过拟发行股票公司本次发行股票的总量；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（10）本基金进入全国银行间同业市场中的债券回购最长期限为1年，债券回购到期后不展期；</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（11）本基金投资于同一原始权益人的各类资产支持证券的比例，不得超过基金资产净值的10%；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（12）本基金持有的全部资产支持证券，其市值不得超过基金资产净值的20%；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（13）本基金持有的同一（指同一信用级别）资产支持证券的比例，不得超过该资产支持证券规模的10%；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（14）基金管理人管理的且由本基金托管人托管的全部基金投资于同一原始权益人的各类资产支持证券，不得超过其各类资产支持证券合计规模的10%；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（15）本基金应投资于信用级别评级为BBB以上（含BBB）的资产支持证券。基金持有资产支持证券期间，如果其信用等级下降、不再符合投资标准，应在评级报告发布之日起3个月内予以全部卖出；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（16）基金资产总值不得超过基金资产净值的140%；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17）本基金主动投资流动性受限资产的市值合计不得超过本基金基金资产净值的15%；因证券市场波动、上市公司股票停牌、基金规模变动等基金管理人之外的因素致使基金投资比例不符合上述投资比例限制的，基金管理人不得主动新增流动性受限资产的投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18）基金管理人管理的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基金管理人管理的且由本基金托管人托管的全部投资组合持有一家上市公司发行的可流通股票，不得超过该上市公司可流通股票的30%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（20）本基金投资于货币市场基金的比例不超过基金资产的15%；</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（21）本基金投资于商品基金（含商品期货基金和黄金ETF）的比例不超过基金资产的10%；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（22）法律法规及中国证监会规定的和《基金合同》约定的其他投资限制。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因证券市场波动、基金规模变动等基金管理人之外的因素致使基金投资比例不符合上述第（3）、（4）项规定投资比例的，基金管理人应当在20个交易日内进行调整，但中国证监会规定的特殊情形除外。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因证券市场波动、证券发行人合并、基金规模变动等基金管理人之外的因素致使基金投资比例不符合上述规定投资比例的，对于除第（2）、（3）、（4）、（5）、（15）、（17）、（19）项规定的其他情形，基金管理人应当在10个交易日内进行调整，但中国证监会规定的特殊情形除外。法律法规另有规定的从其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当自基金合同生效之日起6个月内使基金的投资组合比例符合基金合同的有关约定。上述期间内，本基金的投资范围、投资策略应当符合基金合同的约定。基金托管人对基金的投资的监督与检查自基金合同生效之日起开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法律法规或监管部门取消或变更上述限制，如适用于本基金，基金管理人在履行适当程序后，则本基金投资不再受相关限制或按变更后的规定执行。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目标日期到达后，本基金投资限制：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1、本基金中基金的投资组合将遵循以下比例限制：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（1）本基金投资于证券投资基金的比例不低于基金资产的80%，投资于股票、股票型证券投资基金、混合型证券投资基金、商品基金（含商品期货基金和黄金ETF）等品种的比例合计原则上不高于基金资产的30%；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（2）本基金持有现金或到期日在一年以内的政府债券的投资比例合计不低于基金资产净值的5%；本基金所指的现金不包括结算备付金、存出保证金、应收申购款等；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本基金持有其他单只证券投资基金的市值不超过本基金资产净值的20%，且不得投资于其他基金中基金，本基金不得持有具有复杂、衍生品性质的基金份额，包括分级基金和中国证监会认定的其他基金份额，中国证监会认可或者批准的特殊基金中基金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（4）基金管理人管理的且由本基金托管人托管的全部基金中基金（ETF联接基金除外）持有单只证券投资基金不得超过被投资基金净资产的20%，被投资基金净资产规模以最近定期报告披露的规模为准；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（5）本基金投资的证券投资基金，应当满足以下条件：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1）除指数基金、ETF 和商品基金等品种除外，被投资基金的运作期限应当不少于2年，最近2年平均季末基金净资产应当不低于2亿元；被投资基金为指数基金、ETF 和商品基金等品种的，运作期限应当不少于1 年，最近定期报告披露的季末基金净资产应当不低于1亿元；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（6）投资于封闭运作基金、定期开放基金等流通受限基金资产合计不得超过基金资产净值的10%；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（7）本基金投资于股票、债券等金融工具的，投资品种和比例应当符合本基金的投资目标和投资策略；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（8）本基金持有一家公司发行的证券（不包括基金份额），其市值不超过基金资产净值的10%；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（9）基金管理人管理的且由本基金托管人托管的全部基金持有一家公司发行的证券（不包括基金份额），不超过该证券的10%；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（10）基金财产参与股票发行申购，本基金所申报的金额不超过本基金的总资产，本基金所申报的股票数量不超过拟发行股票公司本次发行股票的总量；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（11）本基金进入全国银行间同业市场中的债券回购最长期限为1年，债券回购到期后不展期；</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（12）本基金投资于同一原始权益人的各类资产支持证券的比例，不得超过基金资产净值的10%；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（13）本基金持有的全部资产支持证券，其市值不得超过基金资产净值的20%；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（14）本基金持有的同一（指同一信用级别）资产支持证券的比例，不得超过该资产支持证券规模的10%；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（15）基金管理人管理的且由本基金托管人托管的全部基金投资于同一原始权益人的各类资产支持证券，不得超过其各类资产支持证券合计规模的10%；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（16）本基金应投资于信用级别评级为BBB以上（含BBB）的资产支持证券。基金持有资产支持证券期间，如果其信用等级下降、不再符合投资标准，应在评级报告发布之日起3个月内予以全部卖出；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（17）基金资产总值不得超过基金资产净值的140%；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18）本基金主动投资流动性受限资产的市值合计不得超过本基金基金资产净值的15%；因证券市场波动、上市公司股票停牌、基金规模变动等基金管理人之外的因素致使基金投资比例不符合上述投资比例限制的，基金管理人不得主动新增流动性受限资产的投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19）基金管理人管理的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的且由本基金托管人托管的全部投资组合持有一家上市公司发行的可流通股票，不得超过该上市公司可流通股票的30%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（20）本基金投资于货币市场基金的比例不超过基金资产的15%；</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（21）本基金投资于商品基金（含商品期货基金和黄金ETF）的比例不超过基金资产的10%；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（22）法律法规及中国证监会规定的和《基金合同》约定的其他投资限制。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因证券市场波动、基金规模变动等基金管理人之外的因素致使基金投资比例不符合上述第（3）、（4）项规定投资比例的，基金管理人应当在20个交易日内进行调整，但中国证监会规定的特殊情形除外。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因证券市场波动、证券发行人合并、基金规模变动等基金管理人之外的因素致使基金投资比例不符合上述规定投资比例的，对于除第（2）、（3）、（4）、（5）、（16）、（18）项规定的其他情形，基金管理人应当在10个交易日内进行调整，但中国证监会规定的特殊情形除外。法律法规另有规定的从其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当自基金合同生效之日起6个月内使基金的投资组合比例符合基金合同的有关约定。上述期间内，本基金的投资范围、投资策略应当符合基金合同的约定。基金托管人对基金的投资的监督与检查自基金合同生效之日起开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法律法规或监管部门取消或变更上述限制，如适用于本基金，基金管理人在履行适当程序后，则本基金投资不再受相关限制或按变更后的规定执行。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（三）基金托管人</w:t>
      </w:r>
      <w:bookmarkStart w:id="10" w:name="OLE_LINK1"/>
      <w:r>
        <w:rPr>
          <w:rFonts w:hint="eastAsia" w:asciiTheme="minorEastAsia" w:hAnsiTheme="minorEastAsia"/>
          <w:sz w:val="24"/>
          <w:szCs w:val="24"/>
        </w:rPr>
        <w:t>根据有关法律法规的规定及《基金合同》的约定，</w:t>
      </w:r>
      <w:bookmarkEnd w:id="10"/>
      <w:r>
        <w:rPr>
          <w:rFonts w:hint="eastAsia" w:asciiTheme="minorEastAsia" w:hAnsiTheme="minorEastAsia"/>
          <w:sz w:val="24"/>
          <w:szCs w:val="24"/>
        </w:rPr>
        <w:t>对本托管协议第十五条第九款基金投资禁止行为通过事后监督方式进行监督。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Pr>
          <w:rFonts w:hint="eastAsia"/>
          <w:sz w:val="24"/>
        </w:rPr>
        <w:t>建立健全内部审批机制和评估机制，按照市场公平合理价格执行。</w:t>
      </w:r>
      <w:r>
        <w:rPr>
          <w:rFonts w:hint="eastAsia" w:asciiTheme="minorEastAsia" w:hAnsiTheme="minorEastAsia"/>
          <w:sz w:val="24"/>
          <w:szCs w:val="24"/>
        </w:rPr>
        <w:t>相关交易必须事先得到基金托管人的同意，</w:t>
      </w:r>
      <w:r>
        <w:rPr>
          <w:rFonts w:hint="eastAsia"/>
          <w:sz w:val="24"/>
        </w:rPr>
        <w:t>并按法律法规予以披露</w:t>
      </w:r>
      <w:r>
        <w:rPr>
          <w:rFonts w:hint="eastAsia" w:asciiTheme="minorEastAsia" w:hAnsiTheme="minorEastAsia"/>
          <w:sz w:val="24"/>
          <w:szCs w:val="24"/>
        </w:rPr>
        <w:t>。</w:t>
      </w:r>
      <w:r>
        <w:rPr>
          <w:rFonts w:hint="eastAsia"/>
          <w:sz w:val="24"/>
        </w:rPr>
        <w:t>重大关联交易应提交基金管理人董事会审议，并经过三分之二以上的独立董事通过。基金管理人董事会应至少每半年对关联交易事项进行审查。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（五）基金托管人根据有关法律法规的规定及《基金合同》的约定，对基金管理人投资流通受限证券进行监督。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本基金投资的流通受限证券限于可由中国证券登记结算有限责任公司或中央国债登记结算有限责任公司负责登记和存管，并可在证券交易所或全国银行间债券市场交易的证券。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本基金投资流通受限证券，不得预付任何形式的保证金。</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（1）中国证监会批准发行非公开发行股票的批准文件。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（2）非公开发行股票有关发行数量、发行价格、锁定期等发行资料。</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（3）非公开发行股票发行人与中国证券登记结算有限责任公司或中央国债登记结算有限责任公司签订的证券登记及服务协议。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（4）基金拟认购的数量、价格、总成本、账面价值。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本基金有关投资流通受限证券比例如违反有关限制规定，在合理期限内未能进行及时调整，基金管理人应在两个工作日内编制临时报告书，予以公告。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5.基金托管人根据有关规定有权对基金管理人进行以下事项监督：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（1）本基金投资流通受限证券时的法律法规遵守情况。</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（2）在基金投资流通受限证券管理工作方面有关制度、流动性风险处置预案的建立与完善情况。</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（3）有关比例限制的执行情况。</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（4）信息披露情况。</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6.相关法律法规对基金投资流通受限证券有新规定的，从其规定。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宋体" w:hAnsi="宋体" w:eastAsia="宋体" w:cs="Arial"/>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1" w:name="_Toc120435783"/>
      <w:bookmarkStart w:id="12" w:name="_Toc119402710"/>
      <w:bookmarkStart w:id="13" w:name="_Toc118972648"/>
      <w:bookmarkStart w:id="14" w:name="_Toc89163368"/>
      <w:bookmarkStart w:id="15" w:name="_Toc69134508"/>
      <w:bookmarkStart w:id="16" w:name="_Toc110761796"/>
      <w:bookmarkStart w:id="17" w:name="_Toc86649722"/>
      <w:bookmarkStart w:id="18" w:name="_Toc86225291"/>
      <w:bookmarkStart w:id="19" w:name="_Toc86737929"/>
      <w:bookmarkStart w:id="20" w:name="_Toc86726439"/>
      <w:bookmarkStart w:id="21" w:name="_Toc108512358"/>
      <w:bookmarkStart w:id="22" w:name="_Toc118212950"/>
      <w:bookmarkStart w:id="23" w:name="_Toc124325888"/>
      <w:bookmarkStart w:id="24" w:name="_Toc110830492"/>
      <w:bookmarkStart w:id="25" w:name="_Toc86727355"/>
      <w:bookmarkStart w:id="26" w:name="_Toc118774803"/>
      <w:bookmarkStart w:id="27" w:name="_Toc110765660"/>
      <w:bookmarkStart w:id="28" w:name="_Toc86223242"/>
      <w:r>
        <w:rPr>
          <w:rFonts w:hint="eastAsia" w:ascii="宋体" w:hAnsi="宋体" w:eastAsia="宋体" w:cs="Times New Roman"/>
          <w:b/>
          <w:sz w:val="30"/>
          <w:szCs w:val="2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spacing w:line="400" w:lineRule="auto"/>
        <w:ind w:firstLine="480" w:firstLineChars="200"/>
        <w:rPr>
          <w:rFonts w:ascii="宋体" w:hAnsi="宋体" w:eastAsia="宋体" w:cs="Arial"/>
          <w:sz w:val="24"/>
          <w:szCs w:val="24"/>
        </w:rPr>
      </w:pPr>
      <w:r>
        <w:rPr>
          <w:rFonts w:hint="eastAsia" w:asciiTheme="minorEastAsia" w:hAnsiTheme="minor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spacing w:line="400" w:lineRule="auto"/>
        <w:ind w:firstLine="480" w:firstLineChars="200"/>
        <w:rPr>
          <w:rFonts w:ascii="宋体" w:hAnsi="宋体" w:eastAsia="宋体" w:cs="Times New Roman"/>
          <w:sz w:val="24"/>
          <w:szCs w:val="24"/>
        </w:rPr>
      </w:pPr>
    </w:p>
    <w:p>
      <w:pPr>
        <w:spacing w:line="400" w:lineRule="auto"/>
        <w:ind w:firstLine="480" w:firstLineChars="200"/>
        <w:rPr>
          <w:rFonts w:ascii="宋体" w:hAnsi="宋体" w:eastAsia="宋体" w:cs="Times New Roman"/>
          <w:sz w:val="24"/>
          <w:szCs w:val="24"/>
        </w:rPr>
      </w:pPr>
    </w:p>
    <w:p>
      <w:pPr>
        <w:spacing w:line="400" w:lineRule="auto"/>
        <w:ind w:firstLine="480" w:firstLineChars="200"/>
        <w:rPr>
          <w:rFonts w:ascii="宋体" w:hAnsi="宋体" w:eastAsia="宋体" w:cs="Times New Roman"/>
          <w:sz w:val="24"/>
          <w:szCs w:val="24"/>
        </w:rPr>
      </w:pPr>
    </w:p>
    <w:p>
      <w:pPr>
        <w:spacing w:line="400" w:lineRule="auto"/>
        <w:ind w:firstLine="480" w:firstLineChars="200"/>
        <w:rPr>
          <w:rFonts w:ascii="宋体" w:hAnsi="宋体" w:eastAsia="宋体" w:cs="Times New Roman"/>
          <w:sz w:val="24"/>
          <w:szCs w:val="24"/>
        </w:rPr>
      </w:pPr>
    </w:p>
    <w:p>
      <w:pPr>
        <w:spacing w:line="400" w:lineRule="auto"/>
        <w:ind w:firstLine="480" w:firstLineChars="200"/>
        <w:rPr>
          <w:rFonts w:ascii="宋体" w:hAnsi="宋体" w:eastAsia="宋体" w:cs="Times New Roman"/>
          <w:sz w:val="24"/>
          <w:szCs w:val="24"/>
        </w:rPr>
      </w:pPr>
    </w:p>
    <w:p>
      <w:pPr>
        <w:spacing w:line="400" w:lineRule="auto"/>
        <w:ind w:firstLine="480" w:firstLineChars="200"/>
        <w:rPr>
          <w:rFonts w:ascii="宋体" w:hAnsi="宋体" w:eastAsia="宋体" w:cs="Times New Roman"/>
          <w:sz w:val="24"/>
          <w:szCs w:val="24"/>
        </w:rPr>
      </w:pPr>
    </w:p>
    <w:p>
      <w:pPr>
        <w:spacing w:line="400" w:lineRule="auto"/>
        <w:rPr>
          <w:rFonts w:ascii="宋体" w:hAnsi="宋体" w:eastAsia="宋体" w:cs="Times New Roman"/>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29" w:name="_Toc86727356"/>
      <w:bookmarkStart w:id="30" w:name="_Toc118972649"/>
      <w:bookmarkStart w:id="31" w:name="_Toc86737930"/>
      <w:bookmarkStart w:id="32" w:name="_Toc120435784"/>
      <w:bookmarkStart w:id="33" w:name="_Toc89163369"/>
      <w:bookmarkStart w:id="34" w:name="_Toc110830493"/>
      <w:bookmarkStart w:id="35" w:name="_Toc86204789"/>
      <w:bookmarkStart w:id="36" w:name="_Toc84234435"/>
      <w:bookmarkStart w:id="37" w:name="_Toc86223243"/>
      <w:bookmarkStart w:id="38" w:name="_Toc84234388"/>
      <w:bookmarkStart w:id="39" w:name="_Toc86225292"/>
      <w:bookmarkStart w:id="40" w:name="_Toc110761797"/>
      <w:bookmarkStart w:id="41" w:name="_Toc124325889"/>
      <w:bookmarkStart w:id="42" w:name="_Toc86649723"/>
      <w:bookmarkStart w:id="43" w:name="_Toc86726440"/>
      <w:bookmarkStart w:id="44" w:name="_Toc118212951"/>
      <w:bookmarkStart w:id="45" w:name="_Toc118774804"/>
      <w:bookmarkStart w:id="46" w:name="_Toc119402711"/>
      <w:bookmarkStart w:id="47" w:name="_Toc108512359"/>
      <w:bookmarkStart w:id="48" w:name="_Toc110765661"/>
      <w:bookmarkStart w:id="49" w:name="_Toc69134509"/>
      <w:bookmarkStart w:id="50" w:name="_Toc84133786"/>
      <w:r>
        <w:rPr>
          <w:rFonts w:hint="eastAsia" w:ascii="宋体" w:hAnsi="宋体" w:eastAsia="宋体" w:cs="Times New Roman"/>
          <w:b/>
          <w:sz w:val="30"/>
          <w:szCs w:val="20"/>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（一）基金财产保管的原则</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1.基金财产应独立于基金管理人、基金托管人的固有财产。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2.基金托管人应安全保管基金财产。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3.基金托管人按照规定开设基金财产的资金账户和证券账户。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4.基金托管人对所托管的不同基金财产分别设置账户，独立核算，分账管理，确保基金财产的完整与独立。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7.除依据法律法规和《基金合同》的规定外，基金托管人不得委托第三人托管基金财产。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（二）基金募集期间及募集资金的验资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1.基金募集期间募集的资金应存于基金管理人在基金托管人的营业机构开立的“基金募集专户”。该账户由基金管理人开立并管理。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3.若基金募集期限届满，未能达到《基金合同》生效的条件，由基金管理人按规定办理退款等事宜。</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（三）基金银行账户的开立和管理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1.基金托管人可以基金的名义在其营业机构开立基金的银行账户，并根据基金管理人合法合规的指令办理资金收付。本基金的银行预留印鉴由基金托管人保管和使用。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3.基金银行账户的开立和管理应符合银行业监督管理机构的有关规定。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4.在符合法律法规规定的条件下，基金托管人可以通过基金托管人专用账户办理基金资产的支付。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5.管理人应于托管产品到期后及时完成收益兑付、费用结清及其他应收应付款项资金划转，在确保后续不再发生款项进出后的10个工作日内向托管人发出销户申请。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（四）基金证券账户和结算备付金账户的开立和管理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1.基金托管人在中国证券登记结算有限责任公司为基金开立基金托管人与基金联名的证券账户。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3.基金证券账户的开立和证券账户卡的保管由基金托管人负责，账户资产的管理和运用由基金管理人负责。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证券账户开户费由基金管理人先行垫付,待本基金启始运营后,基金管理人可向基金托管人发送划款指令,将代垫开户费从本基金托管资金账户中扣还基金管理人。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（五）债券托管专户的开设和管理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（六）开放式基金账户的开设和管理</w:t>
      </w:r>
    </w:p>
    <w:p>
      <w:pPr>
        <w:spacing w:line="400" w:lineRule="auto"/>
        <w:ind w:firstLine="480" w:firstLineChars="200"/>
        <w:rPr>
          <w:rFonts w:ascii="彩虹粗仿宋" w:hAnsi="宋体" w:eastAsia="彩虹粗仿宋" w:cs="Arial"/>
          <w:sz w:val="24"/>
        </w:rPr>
      </w:pPr>
      <w:r>
        <w:rPr>
          <w:rFonts w:hint="eastAsia" w:asciiTheme="minorEastAsia" w:hAnsiTheme="minorEastAsia"/>
          <w:sz w:val="24"/>
          <w:szCs w:val="24"/>
        </w:rPr>
        <w:t>管理人选择通过机构投资者场外投资业务平台（简称"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（六）其他账户的开立和管理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2.法律法规等有关规定对相关账户的开立和管理另有规定的，从其规定办理。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（七）基金财产投资的有关有价凭证等的保管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（八）与基金财产有关的重大合同的保管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Pr>
          <w:rFonts w:hint="eastAsia"/>
          <w:bCs/>
          <w:sz w:val="24"/>
          <w:szCs w:val="24"/>
        </w:rPr>
        <w:t>不低于法律法规规定的最低期限</w:t>
      </w:r>
      <w:r>
        <w:rPr>
          <w:rFonts w:hint="eastAsia" w:asciiTheme="minorEastAsia" w:hAnsiTheme="minorEastAsia"/>
          <w:sz w:val="24"/>
          <w:szCs w:val="24"/>
        </w:rPr>
        <w:t>。</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51" w:name="_Toc84234436"/>
      <w:bookmarkStart w:id="52" w:name="_Toc86223244"/>
      <w:bookmarkStart w:id="53" w:name="_Toc110765662"/>
      <w:bookmarkStart w:id="54" w:name="_Toc84133787"/>
      <w:bookmarkStart w:id="55" w:name="_Toc86225293"/>
      <w:bookmarkStart w:id="56" w:name="_Toc86726441"/>
      <w:bookmarkStart w:id="57" w:name="_Toc119402712"/>
      <w:bookmarkStart w:id="58" w:name="_Toc86737931"/>
      <w:bookmarkStart w:id="59" w:name="_Toc110830494"/>
      <w:bookmarkStart w:id="60" w:name="_Toc110761798"/>
      <w:bookmarkStart w:id="61" w:name="_Toc89163370"/>
      <w:bookmarkStart w:id="62" w:name="_Toc118774805"/>
      <w:bookmarkStart w:id="63" w:name="_Toc118972650"/>
      <w:bookmarkStart w:id="64" w:name="_Toc118212952"/>
      <w:bookmarkStart w:id="65" w:name="_Toc69134510"/>
      <w:bookmarkStart w:id="66" w:name="_Toc120435785"/>
      <w:bookmarkStart w:id="67" w:name="_Toc86649724"/>
      <w:bookmarkStart w:id="68" w:name="_Toc124325890"/>
      <w:bookmarkStart w:id="69" w:name="_Toc108512360"/>
      <w:bookmarkStart w:id="70" w:name="_Toc84234389"/>
      <w:bookmarkStart w:id="71" w:name="_Toc86727357"/>
      <w:bookmarkStart w:id="72" w:name="_Toc86204790"/>
      <w:r>
        <w:rPr>
          <w:rFonts w:hint="eastAsia" w:ascii="宋体" w:hAnsi="宋体" w:eastAsia="宋体" w:cs="Times New Roman"/>
          <w:b/>
          <w:sz w:val="30"/>
          <w:szCs w:val="2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基金管理人在运用基金财产时向基金托管人发送资金划拨及其他款项付款指令，基金托管人执行基金管理人的指令、办理基金名下的资金往来等有关事项。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（一）基金管理人对发送指令人员的书面授权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1.基金管理人应指定专人向基金托管人发送指令。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2.基金管理人应向基金托管人提供书面授权文件，内容包括被授权人名单、预留印鉴及被授权人签字样本，授权文件应注明被授权人相应的权限。</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4.基金管理人和基金托管人对授权文件负有保密义务，其内容不得向被授权人及相关操作人员以外的任何人泄露。但法律法规规定或有权机关要求的除外。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（二）指令的内容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1.指令包括付款指令以及其他资金划拨指令等。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2.基金管理人发给基金托管人的指令应写明款项事由、支付时间、到账时间、金额、账户等，加盖预留印鉴并由被授权人签字。</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（三）指令的发送、确认及执行的时间和程序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1.指令的发送</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基金管理人发送指令应采用加密传真方式或双方协商一致的其他方式。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指令发出后，基金管理人应及时以电话方式向基金托管人确认。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2.指令的确认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3.指令的时间和执行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（四）基金管理人发送错误指令的情形和处理程序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基金管理人发送错误指令的情形包括指令违反法律法规和《基金合同》，指令发送人员无权或超越权限发送指令。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基金托管人在履行监督职能时，发现基金管理人的指令错误时，有权拒绝执行，并及时通知基金管理人改正。如需撤销指令，基金管理人应出具书面说明，并加盖业务用章。</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（五）基金托管人依照法律法规暂缓、拒绝执行指令的情形和处理程序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若基金托管人发现基金管理人的指令违反法律法规，或者违反《基金合同》约定的，应当暂缓或拒绝执行，立即通知基金管理人。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（六）基金托管人未按照基金管理人指令执行的处理方法</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基金托管人由于过错，未按照基金管理人发送的指令执行并对基金财产或投资人造成的直接损失，由基金托管人赔偿由此造成的直接损失。</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（七）更换被授权人员的程序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（八）其他事项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基金参与认购未上市债券时，基金管理人应代表本基金与对手方签署相关合同或协议，明确约定债券过户具体事宜。否则，基金管理人需对所认购债券的过户事宜承担相应责任。</w:t>
      </w: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73" w:name="_Toc69134511"/>
      <w:bookmarkStart w:id="74" w:name="_Toc84234390"/>
      <w:bookmarkStart w:id="75" w:name="_Toc86726442"/>
      <w:bookmarkStart w:id="76" w:name="_Toc108512361"/>
      <w:bookmarkStart w:id="77" w:name="_Toc86223245"/>
      <w:bookmarkStart w:id="78" w:name="_Toc120435786"/>
      <w:bookmarkStart w:id="79" w:name="_Toc86737932"/>
      <w:bookmarkStart w:id="80" w:name="_Toc110765663"/>
      <w:bookmarkStart w:id="81" w:name="_Toc86225294"/>
      <w:bookmarkStart w:id="82" w:name="_Toc89163371"/>
      <w:bookmarkStart w:id="83" w:name="_Toc86727358"/>
      <w:bookmarkStart w:id="84" w:name="_Toc118774806"/>
      <w:bookmarkStart w:id="85" w:name="_Toc118212953"/>
      <w:bookmarkStart w:id="86" w:name="_Toc118972651"/>
      <w:bookmarkStart w:id="87" w:name="_Toc110761799"/>
      <w:bookmarkStart w:id="88" w:name="_Toc84133788"/>
      <w:bookmarkStart w:id="89" w:name="_Toc119402713"/>
      <w:bookmarkStart w:id="90" w:name="_Toc110830495"/>
      <w:bookmarkStart w:id="91" w:name="_Toc124325891"/>
      <w:bookmarkStart w:id="92" w:name="_Toc86649725"/>
      <w:bookmarkStart w:id="93" w:name="_Toc86204791"/>
      <w:bookmarkStart w:id="94" w:name="_Toc84234437"/>
      <w:r>
        <w:rPr>
          <w:rFonts w:hint="eastAsia" w:ascii="宋体" w:hAnsi="宋体" w:eastAsia="宋体" w:cs="Times New Roman"/>
          <w:b/>
          <w:sz w:val="30"/>
          <w:szCs w:val="20"/>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（一）选择证券买卖的证券经营机构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（二）基金投资证券后的清算交收安排</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1.清算与交割</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基金管理人与基金托管人应根据有关法律法规及相关业务规则，签订《托管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银行证券资金结算协议》，用以具体明确基金管理人与基金托管人在证券交易资金结算业务中的责任。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实行场内T+0交收的资金清算按照基金托管人的相关规定流程执行。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2.交易记录、资金和证券账目核对的时间和方式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（1）交易记录的核对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（2）资金账目的核对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资金账目按日核实。</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（3）证券账目的核对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基金管理人和基金托管人每交易日结束后核对基金证券账目，确保双方账目相符。基金管理人和基金托管人每月月末核对实物证券账目。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（三）基金申购和赎回业务处理的基本规定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1.基金份额申购、赎回的确认、清算由基金管理人或其委托的登记机构负责。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3.基金管理人应保证本基金（或基金管理人委托）的登记机构每个工作日15:00前向基金托管人发送前一开放日上述有关数据，并保证相关数据的准确、完整。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5.如基金管理人委托其他机构办理本基金的注册登记业务，应保证上述相关事宜按时进行。否则，由基金管理人承担相应的责任。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6.关于清算专用账户的设立和管理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为满足申购、赎回及分红资金汇划的需要，由基金管理人开立资金清算的专用账户，该账户由登记机构管理。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8.赎回和分红资金划拨规定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9.资金指令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除申购款项到达基金资金账户需双方按约定方式对账外，回购到期付款和与投资有关的付款、赎回和分红资金划拨时，基金管理人需向基金托管人下达指令。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资金指令的格式、内容、发送、接收和确认方式等与投资指令相同。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（四）申赎净额结算</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（五）基金转换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1.在本基金与基金管理人管理的其它基金开展转换业务之前，基金管理人应函告基金托管人并就相关事宜进行协商。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2.基金托管人将根据基金管理人传送的基金转换数据进行账务处理，具体资金清算和数据传递的时间、程序及托管协议当事人承担的权责按基金管理人届时的公告执行。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3.本基金开展基金转换业务应按相关法律法规规定及《基金合同》的约定进行公告。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（六）基金现金分红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1.基金管理人确定分红方案通知基金托管人，双方核定后依照《信息披露办法》的有关规定在中国证监会规定媒介上公告。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2.基金托管人和基金管理人对基金分红进行账务处理并核对后，基金管理人向基金托管人发送现金红利的划款指令，基金托管人应及时将资金划入专用账户。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3.基金管理人在下达指令时，应给基金托管人留出必需的划款时间。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（七）投资银行存款的特别约定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1.本基金投资银行存款前，基金管理人应与存款银行签订具体存款协议，包括但不限于以下内容：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（1）存款账户必须以本基金名义开立,并将基金托管人为本基金开立的基金银行账户指定为唯一回款账户，任何情况下，存款银行都不得将存款投资本息划往任何其他账户。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（2）存款银行不得接受基金管理人或基金托管人任何一方单方面提出的对存款进行更名、转让、挂失、质押、担保、撤销、变更印鉴及回款账户信息等可能导致财产转移的操作申请。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（3）约定存款证实书的具体传递交接方式及交接期限。</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（4）资金划转过程中需要使用存款银行过渡账户的，存款银行须保证资金在过渡账户中不出现滞留，不被挪用。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本基金投资银行存款，必须采用双方认可的方式办理。基金托管人负责依据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（八）托管产品通过第三方销售机构参与开放式基金投资的特别约定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产品可以通过第三方基金销售机构渠道投资开放式基金。为维护产品持有人利益、保障资产安全，投资管理人应负责制订选择第三方基金销售机构的标准和程序，并据此选择第三方销售机构。对于第三方基金销售机构原因给本产品造成损失的，相关责任由投资管理人承担。</w:t>
      </w: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rPr>
          <w:rFonts w:asciiTheme="minorEastAsia" w:hAnsiTheme="minorEastAsia"/>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95" w:name="_Toc124325892"/>
      <w:r>
        <w:rPr>
          <w:rFonts w:hint="eastAsia" w:ascii="宋体" w:hAnsi="宋体" w:eastAsia="宋体" w:cs="Times New Roman"/>
          <w:b/>
          <w:sz w:val="30"/>
          <w:szCs w:val="20"/>
        </w:rPr>
        <w:t xml:space="preserve"> </w:t>
      </w:r>
      <w:bookmarkStart w:id="96" w:name="_Toc69134512"/>
      <w:r>
        <w:rPr>
          <w:rFonts w:hint="eastAsia" w:ascii="宋体" w:hAnsi="宋体" w:eastAsia="宋体" w:cs="Times New Roman"/>
          <w:b/>
          <w:sz w:val="30"/>
          <w:szCs w:val="20"/>
        </w:rPr>
        <w:t>八、基金资产净值计算和会计核算</w:t>
      </w:r>
      <w:bookmarkEnd w:id="95"/>
      <w:bookmarkEnd w:id="96"/>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（一）基金资产净值的计算、复核与完成的时间及程序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1.基金资产净值是指基金资产总值减去基金负债后的金额。基金份额净值是按照每个工作日闭市后，基金资产净值除以当日基金份额的余额数量计算，精确到0.0001元，小数点后第5位四舍五入。</w:t>
      </w:r>
      <w:r>
        <w:rPr>
          <w:rFonts w:asciiTheme="minorEastAsia" w:hAnsiTheme="minorEastAsia"/>
          <w:sz w:val="24"/>
          <w:szCs w:val="24"/>
        </w:rPr>
        <w:t>基金管理人可以设立大额赎回情形下的净值精度应急调整机制。</w:t>
      </w:r>
      <w:r>
        <w:rPr>
          <w:rFonts w:hint="eastAsia" w:asciiTheme="minorEastAsia" w:hAnsiTheme="minorEastAsia"/>
          <w:sz w:val="24"/>
          <w:szCs w:val="24"/>
        </w:rPr>
        <w:t>国家另有规定的，从其规定。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基金管理人每个工作日计算基金资产净值及基金份额净值，并按规定公告。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Pr>
          <w:rFonts w:hint="eastAsia"/>
          <w:bCs/>
          <w:sz w:val="24"/>
          <w:szCs w:val="24"/>
        </w:rPr>
        <w:t>依据基金合同和相关法律法规的规定</w:t>
      </w:r>
      <w:r>
        <w:rPr>
          <w:rFonts w:hint="eastAsia" w:asciiTheme="minorEastAsia" w:hAnsiTheme="minorEastAsia"/>
          <w:sz w:val="24"/>
          <w:szCs w:val="24"/>
        </w:rPr>
        <w:t>对外公布。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（二）基金资产估值方法和特殊情形的处理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1.估值对象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基金所拥有的证券投资基金、股票、债券、</w:t>
      </w:r>
      <w:r>
        <w:rPr>
          <w:rFonts w:hint="eastAsia"/>
          <w:bCs/>
          <w:sz w:val="24"/>
          <w:szCs w:val="24"/>
        </w:rPr>
        <w:t>资产支持证券、</w:t>
      </w:r>
      <w:r>
        <w:rPr>
          <w:rFonts w:hint="eastAsia" w:asciiTheme="minorEastAsia" w:hAnsiTheme="minorEastAsia"/>
          <w:sz w:val="24"/>
          <w:szCs w:val="24"/>
        </w:rPr>
        <w:t>银行存款本息、应收款项、其它投资等资产及负债。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2.估值方法</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本基金所持有的投资品种，按如下原则进行估值 ：</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zh-CN"/>
        </w:rPr>
        <w:t>、基金估值方法</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）非上市基金估值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1）境内非货币市场基金，按所投资基金估值日的基金份额净值估值。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2）境内货币市场基金，按所投资基金前一估值日后至估值日期间（含节假日）的万份收益计提估值日基金收益。</w:t>
      </w:r>
      <w:r>
        <w:rPr>
          <w:rFonts w:hint="eastAsia"/>
          <w:sz w:val="24"/>
        </w:rPr>
        <w:t>如所投资的境内货币市场基金披露份额净值，则按所投资基金估值日的份额净值估值。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（2）上市基金估值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ETF </w:t>
      </w:r>
      <w:r>
        <w:rPr>
          <w:rFonts w:hint="eastAsia" w:asciiTheme="minorEastAsia" w:hAnsiTheme="minorEastAsia"/>
          <w:sz w:val="24"/>
          <w:szCs w:val="24"/>
        </w:rPr>
        <w:t>基金，按所投资基金估值日的收盘价估值。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2）境内上市开放式基金（</w:t>
      </w:r>
      <w:r>
        <w:rPr>
          <w:rFonts w:asciiTheme="minorEastAsia" w:hAnsiTheme="minorEastAsia"/>
          <w:sz w:val="24"/>
          <w:szCs w:val="24"/>
        </w:rPr>
        <w:t>LOF</w:t>
      </w:r>
      <w:r>
        <w:rPr>
          <w:rFonts w:hint="eastAsia" w:asciiTheme="minorEastAsia" w:hAnsiTheme="minorEastAsia"/>
          <w:sz w:val="24"/>
          <w:szCs w:val="24"/>
        </w:rPr>
        <w:t>），按所投资基金估值日的基金份额净值估值。</w:t>
      </w:r>
    </w:p>
    <w:p>
      <w:pPr>
        <w:spacing w:line="400" w:lineRule="auto"/>
        <w:ind w:firstLine="480" w:firstLineChars="200"/>
        <w:jc w:val="left"/>
        <w:rPr>
          <w:rFonts w:asciiTheme="minorEastAsia" w:hAnsiTheme="minorEastAsia"/>
          <w:sz w:val="24"/>
          <w:szCs w:val="24"/>
          <w:lang w:val="zh-CN"/>
        </w:rPr>
      </w:pPr>
      <w:r>
        <w:rPr>
          <w:rFonts w:hint="eastAsia" w:asciiTheme="minorEastAsia" w:hAnsiTheme="minorEastAsia"/>
          <w:sz w:val="24"/>
          <w:szCs w:val="24"/>
        </w:rPr>
        <w:t>3）</w:t>
      </w:r>
      <w:r>
        <w:rPr>
          <w:rFonts w:hint="eastAsia" w:asciiTheme="minorEastAsia" w:hAnsiTheme="minorEastAsia"/>
          <w:sz w:val="24"/>
          <w:szCs w:val="24"/>
          <w:lang w:val="zh-CN"/>
        </w:rPr>
        <w:t>本基金投资的上市定期开放式基金、封闭式基金，按所投资基金估值日的收盘价估值。</w:t>
      </w:r>
    </w:p>
    <w:p>
      <w:pPr>
        <w:widowControl/>
        <w:spacing w:line="400" w:lineRule="auto"/>
        <w:ind w:firstLine="480" w:firstLineChars="200"/>
        <w:jc w:val="left"/>
        <w:rPr>
          <w:rFonts w:asciiTheme="minorEastAsia" w:hAnsiTheme="minorEastAsia"/>
          <w:sz w:val="24"/>
          <w:szCs w:val="24"/>
        </w:rPr>
      </w:pPr>
      <w:r>
        <w:rPr>
          <w:rFonts w:hint="eastAsia" w:asciiTheme="minorEastAsia" w:hAnsiTheme="minorEastAsia"/>
          <w:sz w:val="24"/>
          <w:szCs w:val="24"/>
          <w:lang w:val="zh-CN"/>
        </w:rPr>
        <w:t>4）</w:t>
      </w:r>
      <w:r>
        <w:rPr>
          <w:rFonts w:hint="eastAsia" w:asciiTheme="minorEastAsia" w:hAnsiTheme="minorEastAsia"/>
          <w:sz w:val="24"/>
          <w:szCs w:val="24"/>
        </w:rPr>
        <w:t xml:space="preserve"> 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（3）如遇所投资基金不公布基金份额净值、进行折算或拆分、估值日无交易等特殊情况，基金管理人根据以下原则进行估值：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1）以所投资基金的基金份额净值估值的，若所投资基金与本基金估值频率一致但未公布估值日基金份额净值，按其最近公布的基金份额净值为基础估值。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3）如果所投资基金前一估值日至估值日期间发生分红除权、折算或拆分，基金管理人应根据基金份额净值或收盘价、单位基金份额分红金额、折算拆分比例、持仓份额等因素合理确定公允价值。</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、证券交易所上市的有价证券的估值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除本部分另有规定的有价证券外，交易所上市的其他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、处于未上市期间的有价证券应区分如下情况处理：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）送股、转增股、配股和公开增发的新股，按估值日在证券交易所挂牌的同一股票的估值方法估值；该日无交易的，以最近一日的市价（收盘价）估值；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）首次公开发行未上市的股票，采用估值技术确定公允价值，在估值技术难以可靠计量公允价值的情况下，按成本估值。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4、交易所市场交易的固定收益品种的估值</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w:t>
      </w:r>
      <w:r>
        <w:rPr>
          <w:rFonts w:hint="eastAsia"/>
          <w:bCs/>
          <w:sz w:val="24"/>
        </w:rPr>
        <w:t>交易所上市交易或挂牌转让的不含权固定收益品种，选取估值日第三方估值机构提供的相应品种当日的估值净价进行估值；</w:t>
      </w:r>
    </w:p>
    <w:p>
      <w:pPr>
        <w:spacing w:line="360" w:lineRule="auto"/>
        <w:ind w:firstLine="480" w:firstLineChars="200"/>
        <w:rPr>
          <w:bCs/>
          <w:sz w:val="24"/>
        </w:rPr>
      </w:pPr>
      <w:r>
        <w:rPr>
          <w:rFonts w:asciiTheme="minorEastAsia" w:hAnsiTheme="minorEastAsia"/>
          <w:sz w:val="24"/>
          <w:szCs w:val="24"/>
        </w:rPr>
        <w:t>2</w:t>
      </w:r>
      <w:r>
        <w:rPr>
          <w:rFonts w:hint="eastAsia" w:asciiTheme="minorEastAsia" w:hAnsiTheme="minorEastAsia"/>
          <w:sz w:val="24"/>
          <w:szCs w:val="24"/>
        </w:rPr>
        <w:t>）</w:t>
      </w:r>
      <w:r>
        <w:rPr>
          <w:rFonts w:hint="eastAsia"/>
          <w:bCs/>
          <w:sz w:val="24"/>
        </w:rPr>
        <w:t>交易所上市交易或挂牌转让的含权固定收益品种，选取估值日第三方估值机构提供的相应品种当日的唯一估值净价或推荐估值净价进行估值；</w:t>
      </w:r>
    </w:p>
    <w:p>
      <w:pPr>
        <w:spacing w:line="360" w:lineRule="auto"/>
        <w:ind w:firstLine="480" w:firstLineChars="200"/>
        <w:rPr>
          <w:bCs/>
          <w:sz w:val="24"/>
        </w:rPr>
      </w:pPr>
      <w:r>
        <w:rPr>
          <w:rFonts w:hint="eastAsia"/>
          <w:bCs/>
          <w:sz w:val="24"/>
        </w:rPr>
        <w:t>3）交易所上市交易的可转换债券以每日收盘价作为估值全价；</w:t>
      </w:r>
    </w:p>
    <w:p>
      <w:pPr>
        <w:spacing w:line="360" w:lineRule="auto"/>
        <w:ind w:firstLine="480" w:firstLineChars="200"/>
        <w:rPr>
          <w:bCs/>
        </w:rPr>
      </w:pPr>
      <w:r>
        <w:rPr>
          <w:rFonts w:hint="eastAsia"/>
          <w:bCs/>
          <w:sz w:val="24"/>
        </w:rPr>
        <w:t>4）交易所上市不存在活跃市场的有价证券，采用估值技术确定公允价值。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对在交易所市场挂牌转让的资产支持证券，采用估值技术确定公允价值，在估值技术难以可靠计量公允价值的情况下，按成本估值；</w:t>
      </w:r>
    </w:p>
    <w:p>
      <w:pPr>
        <w:spacing w:line="400" w:lineRule="auto"/>
        <w:ind w:firstLine="480" w:firstLineChars="200"/>
        <w:rPr>
          <w:rFonts w:asciiTheme="minorEastAsia" w:hAnsiTheme="minorEastAsia"/>
          <w:sz w:val="24"/>
          <w:szCs w:val="24"/>
        </w:rPr>
      </w:pPr>
      <w:r>
        <w:rPr>
          <w:rFonts w:hint="eastAsia"/>
          <w:bCs/>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5、银行间市场交易的固定收益品种的估值</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）银行间市场交易的固定收益品种，选取第三方估值机构提供的相应品种当日的估值净价进行估值；</w:t>
      </w:r>
    </w:p>
    <w:p>
      <w:pPr>
        <w:widowControl/>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）对银行间市场未上市，</w:t>
      </w:r>
      <w:r>
        <w:rPr>
          <w:rFonts w:hint="eastAsia"/>
          <w:bCs/>
          <w:sz w:val="24"/>
        </w:rPr>
        <w:t>在发行利率与二级市场利率不存在明显差异，未上市期间市场利率没有发生大的变动的情况下，</w:t>
      </w:r>
      <w:r>
        <w:rPr>
          <w:rFonts w:hint="eastAsia" w:asciiTheme="minorEastAsia" w:hAnsiTheme="minorEastAsia"/>
          <w:sz w:val="24"/>
          <w:szCs w:val="24"/>
        </w:rPr>
        <w:t>且第三方估值机构未提供估值价格的固定收益品种，按成本估值。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6、同一</w:t>
      </w:r>
      <w:r>
        <w:rPr>
          <w:rFonts w:asciiTheme="minorEastAsia" w:hAnsiTheme="minorEastAsia"/>
          <w:sz w:val="24"/>
          <w:szCs w:val="24"/>
        </w:rPr>
        <w:t>证券</w:t>
      </w:r>
      <w:r>
        <w:rPr>
          <w:rFonts w:hint="eastAsia" w:asciiTheme="minorEastAsia" w:hAnsiTheme="minorEastAsia"/>
          <w:sz w:val="24"/>
          <w:szCs w:val="24"/>
        </w:rPr>
        <w:t>同时在两个或两个以上市场交易的，按证券所处的市场分别估值。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7、本基金投资同业存单，按估值日第三方估值机构提供的估值净价估值；选定的第三方估值机构未提供估值价格的，按成本估值。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8、如有确凿证据表明按上述方法进行估值不能客观反映其公允价值的，基金管理人可根据具体情况与基金托管人商定后，按最能反映公允价值的价格估值。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9、当发生大额申购或赎回情形时，基金管理人可以采用摆动定价机制，以确保基金估值的公平性。具体处理原则与操作规范遵循相关法律法规以及监管部门、自律规则的规定。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10、相关法律法规以及监管部门有强制规定的，从其规定。如有新增事项，按国家</w:t>
      </w:r>
      <w:r>
        <w:rPr>
          <w:rFonts w:asciiTheme="minorEastAsia" w:hAnsiTheme="minorEastAsia"/>
          <w:sz w:val="24"/>
          <w:szCs w:val="24"/>
        </w:rPr>
        <w:t>最新规定估值。</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的计算结果对外予以公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3.特殊情形的处理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（1）基金管理人按估值方法的第</w:t>
      </w:r>
      <w:r>
        <w:rPr>
          <w:rFonts w:asciiTheme="minorEastAsia" w:hAnsiTheme="minorEastAsia"/>
          <w:sz w:val="24"/>
          <w:szCs w:val="24"/>
        </w:rPr>
        <w:t>9</w:t>
      </w:r>
      <w:r>
        <w:rPr>
          <w:rFonts w:hint="eastAsia" w:asciiTheme="minorEastAsia" w:hAnsiTheme="minorEastAsia"/>
          <w:sz w:val="24"/>
          <w:szCs w:val="24"/>
        </w:rPr>
        <w:t>项条款进行估值时，所造成的误差不作为基金资产估值错误处理。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由于不可抗力原因，或由于证券交易所、登记机构等机构发送的数据错误等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（三）基金份额净值错误的处理方式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1.当基金份额净值小数点后</w:t>
      </w:r>
      <w:r>
        <w:rPr>
          <w:rFonts w:asciiTheme="minorEastAsia" w:hAnsiTheme="minorEastAsia"/>
          <w:sz w:val="24"/>
          <w:szCs w:val="24"/>
        </w:rPr>
        <w:t>4</w:t>
      </w:r>
      <w:r>
        <w:rPr>
          <w:rFonts w:hint="eastAsia" w:asciiTheme="minorEastAsia" w:hAnsiTheme="minorEastAsia"/>
          <w:sz w:val="24"/>
          <w:szCs w:val="24"/>
        </w:rPr>
        <w:t>位以内(含第</w:t>
      </w:r>
      <w:r>
        <w:rPr>
          <w:rFonts w:asciiTheme="minorEastAsia" w:hAnsiTheme="minorEastAsia"/>
          <w:sz w:val="24"/>
          <w:szCs w:val="24"/>
        </w:rPr>
        <w:t>4</w:t>
      </w:r>
      <w:r>
        <w:rPr>
          <w:rFonts w:hint="eastAsia" w:asciiTheme="minorEastAsia" w:hAnsiTheme="minorEastAsia"/>
          <w:sz w:val="24"/>
          <w:szCs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2.当基金份额净值计算差错给基金和基金份额持有人造成损失需要进行赔偿时，基金管理人和基金托管人应根据实际情况界定双方承担的责任，经确认后按以下条款进行赔偿：</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(4)由于基金管理人提供的信息错误（包括但不限于基金申购或赎回金额等），进而导致基金份额净值计算错误而引起的基金份额持有人和基金财产的损失，由基金管理人负责赔付。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3.基金管理人和基金托管人由于各自技术系统设置而产生的净值计算尾差，以基金管理人计算结果为准。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4.前述内容如法律法规或者监管部门另有规定的，从其规定。如果行业另有通行做法，双方当事人应本着平等和保护基金份额持有人利益的原则进行协商。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（四）暂停估值的情形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1.基金投资所涉及的证券交易市场遇法定节假日或因其他原因暂停营业时；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2.因不可抗力</w:t>
      </w:r>
      <w:r>
        <w:rPr>
          <w:rFonts w:hint="eastAsia"/>
          <w:bCs/>
          <w:sz w:val="24"/>
          <w:szCs w:val="24"/>
        </w:rPr>
        <w:t>或其他情形</w:t>
      </w:r>
      <w:r>
        <w:rPr>
          <w:rFonts w:hint="eastAsia" w:asciiTheme="minorEastAsia" w:hAnsiTheme="minorEastAsia"/>
          <w:sz w:val="24"/>
          <w:szCs w:val="24"/>
        </w:rPr>
        <w:t>致使基金管理人、基金托管人无法准确评估基金资产价值时；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3.当</w:t>
      </w:r>
      <w:r>
        <w:rPr>
          <w:rFonts w:hint="eastAsia"/>
          <w:bCs/>
          <w:sz w:val="24"/>
          <w:szCs w:val="24"/>
        </w:rPr>
        <w:t>特定资产占前一估值日基金资产净值50%以上的，</w:t>
      </w:r>
      <w:r>
        <w:rPr>
          <w:bCs/>
          <w:sz w:val="24"/>
        </w:rPr>
        <w:t>经与基金托管人协商确认后</w:t>
      </w:r>
      <w:r>
        <w:rPr>
          <w:rFonts w:hint="eastAsia" w:asciiTheme="minorEastAsia" w:hAnsiTheme="minorEastAsia"/>
          <w:sz w:val="24"/>
          <w:szCs w:val="24"/>
        </w:rPr>
        <w:t>，经与基金托管人协商一致的；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4.占</w:t>
      </w:r>
      <w:r>
        <w:rPr>
          <w:rFonts w:hint="eastAsia"/>
          <w:bCs/>
          <w:sz w:val="24"/>
          <w:szCs w:val="24"/>
        </w:rPr>
        <w:t>本基金资产净值相当比例的被投资基金暂停估值时</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5.中国证监会和《基金合同》认定的其他情形。</w:t>
      </w:r>
    </w:p>
    <w:p>
      <w:pPr>
        <w:pStyle w:val="4"/>
        <w:adjustRightInd w:val="0"/>
        <w:snapToGrid w:val="0"/>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（五）实施侧袋机制期间的基金资产估值</w:t>
      </w:r>
    </w:p>
    <w:p>
      <w:pPr>
        <w:pStyle w:val="4"/>
        <w:adjustRightInd w:val="0"/>
        <w:snapToGrid w:val="0"/>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本基金实施侧袋机制的，应根据本部分的约定对主袋账户资产进行估值并披露主袋账户的基金资产净值和份额净值，暂停披露侧袋账户份额净值。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（六）基金会计制度</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按国家有关部门规定的会计制度执行。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（七）基金账册的建立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（八）基金财务报表与报告的编制和复核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1.财务报表的编制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基金财务报表由基金管理人编制，基金托管人复核。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2.报表复核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基金托管人在收到基金管理人编制的基金财务报表后，进行独立的复核。核对不符时，应及时通知基金管理人共同查出原因，进行调整，直至双方数据完全一致。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3.财务报表的编制与复核时间安排</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(1)报表的编制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(2)报表的复核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基金管理人应留足充分的时间，便于基金托管人复核相关报表及报告。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（九）基金管理人应在编制季度报告、中期报告或者年度报告之前及时向基金托管人提供基金业绩比较基准的基础数据和编制结果。</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97" w:name="_Toc124325893"/>
      <w:bookmarkStart w:id="98" w:name="_Toc69134513"/>
      <w:r>
        <w:rPr>
          <w:rFonts w:hint="eastAsia" w:ascii="宋体" w:hAnsi="宋体" w:eastAsia="宋体" w:cs="Times New Roman"/>
          <w:b/>
          <w:sz w:val="30"/>
          <w:szCs w:val="20"/>
        </w:rPr>
        <w:t>九、基金收益分配</w:t>
      </w:r>
      <w:bookmarkEnd w:id="97"/>
      <w:bookmarkEnd w:id="98"/>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基金收益分配是指按规定将基金的可分配收益按基金份额进行比例分配。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（一）基金收益分配的原则</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基金收益分配应遵循下列原则：</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1、若《基金合同》生效不满3个月可不进行收益分配；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本基金收益分配方式分两种：现金分红与红利再投资，投资者可选择现金红利或将现金红利自动转为基金份额进行再投资；若投资者不选择，本基金默认的收益分配方式是现金分红；基金份额持有人因持有的基金份额（原份额）所获得的红利再投资份额的持有期，按原份额的持有期计算；</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3、基金收益分配后基金份额净值不能低于面值，即基金收益分配基准日的基金份额净值减去每单位基金份额收益分配金额后不能低于面值；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4、每一基金份额享有同等分配权；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5、法律法规或监管机关另有规定的，从其规定。</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在对基金份额持有人利益无实质不利影响的情况下，基金管理人可在法律法规允许的前提下与基金托管人协商一致后酌情调整以上基金收益分配原则，此项调整不需要召开基金份额持有人大会，但应于变更实施日前在规定媒介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（二）基金收益分配的时间和程序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本基金收益分配方案由基金管理人拟定，并由基金托管人复核，依照《信息披露办法》的有关规定在规定媒介公告。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基金收益分配方案公告后(依据具体方案的规定)，基金管理人就支付的现金红利向基金托管人发送划款指令，基金托管人按照基金管理人的指令及时进行分红资金的划付。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w:t>
      </w:r>
      <w:r>
        <w:rPr>
          <w:rFonts w:hint="eastAsia"/>
          <w:bCs/>
          <w:sz w:val="24"/>
        </w:rPr>
        <w:t>国寿安保基金管理有限公司</w:t>
      </w:r>
      <w:r>
        <w:rPr>
          <w:bCs/>
          <w:sz w:val="24"/>
        </w:rPr>
        <w:t>开放式基金</w:t>
      </w:r>
      <w:r>
        <w:rPr>
          <w:rFonts w:hint="eastAsia" w:asciiTheme="minorEastAsia" w:hAnsiTheme="minorEastAsia"/>
          <w:sz w:val="24"/>
          <w:szCs w:val="24"/>
        </w:rPr>
        <w:t>业务规则》执行。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（三）实施侧袋机制期间的收益分配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本基金实施侧袋机制的，侧袋账户不进行收益分配，详见招募说明书的规定。</w:t>
      </w:r>
    </w:p>
    <w:p>
      <w:pPr>
        <w:spacing w:line="400" w:lineRule="auto"/>
        <w:ind w:firstLine="480" w:firstLineChars="20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99" w:name="_Toc69134514"/>
      <w:bookmarkStart w:id="100" w:name="_Toc124325894"/>
      <w:r>
        <w:rPr>
          <w:rFonts w:hint="eastAsia" w:ascii="宋体" w:hAnsi="宋体" w:eastAsia="宋体" w:cs="Times New Roman"/>
          <w:b/>
          <w:sz w:val="30"/>
          <w:szCs w:val="20"/>
        </w:rPr>
        <w:t>十、基金信息披露</w:t>
      </w:r>
      <w:bookmarkEnd w:id="99"/>
      <w:bookmarkEnd w:id="100"/>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（一）保密义务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1.非因基金管理人和基金托管人的原因导致保密信息被披露、泄露或公开；</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2.基金管理人和基金托管人为遵守和服从法院判决或裁定、仲裁裁决或中国证监会等监管机构的命令、决定所做出的信息披露或公开。</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（二）信息披露的内容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基金的信息披露内容主要包括基金招募说明书、《基金合同》、托管协议、基金产品资料概要、基金份额发售公告、</w:t>
      </w:r>
      <w:r>
        <w:rPr>
          <w:rFonts w:hint="eastAsia" w:asciiTheme="minorEastAsia" w:hAnsiTheme="minorEastAsia" w:cstheme="minorEastAsia"/>
          <w:sz w:val="24"/>
        </w:rPr>
        <w:t>基金募集情况、</w:t>
      </w:r>
      <w:r>
        <w:rPr>
          <w:rFonts w:hint="eastAsia" w:asciiTheme="minorEastAsia" w:hAnsiTheme="minorEastAsia" w:cstheme="minorEastAsia"/>
          <w:sz w:val="24"/>
          <w:szCs w:val="24"/>
        </w:rPr>
        <w:t>《</w:t>
      </w:r>
      <w:r>
        <w:rPr>
          <w:rFonts w:hint="eastAsia" w:asciiTheme="minorEastAsia" w:hAnsiTheme="minorEastAsia"/>
          <w:sz w:val="24"/>
          <w:szCs w:val="24"/>
        </w:rPr>
        <w:t>基金合同》生效公告、基金净值信息、基金份额申购、赎回价格、基金定期报告、包括基金年度报告、基金中期报告和基金季度报告、临时报告、澄清公告、基金份额持有人大会决议、清算报告、实施侧袋机制期间的信息披露、投资资产支持证券的信息披露、投资证券投资基金的信息披露、中国证监会规定的其他信息。基金年度报告需经</w:t>
      </w:r>
      <w:r>
        <w:rPr>
          <w:rFonts w:hint="eastAsia"/>
          <w:bCs/>
          <w:sz w:val="24"/>
          <w:szCs w:val="24"/>
        </w:rPr>
        <w:t>符合《中华人民共和国证券法》规定的</w:t>
      </w:r>
      <w:r>
        <w:rPr>
          <w:rFonts w:hint="eastAsia" w:asciiTheme="minorEastAsia" w:hAnsiTheme="minorEastAsia"/>
          <w:sz w:val="24"/>
          <w:szCs w:val="24"/>
        </w:rPr>
        <w:t>会计师事务所审计后，方可披露。</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本基金实施侧袋机制的，相关信息披露义务人应当根据法律法规、基金合同和招募说明书的规定进行信息披露。</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（三）基金托管人和基金管理人在信息披露中的职责和信息披露程序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1.职责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对于不需要基金托管人复核的信息，基金管理人在公告前应告知基金托管人。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基金管理人和基金托管人应积极配合、互相监督，保证其履行按照法定方式和限时披露的义务。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基金管理人应当在中国证监会规定的时间内，将应予披露的基金信息通过</w:t>
      </w:r>
      <w:r>
        <w:rPr>
          <w:rFonts w:hint="eastAsia"/>
          <w:bCs/>
          <w:sz w:val="24"/>
          <w:szCs w:val="24"/>
        </w:rPr>
        <w:t>符合</w:t>
      </w:r>
      <w:r>
        <w:rPr>
          <w:bCs/>
          <w:sz w:val="24"/>
          <w:szCs w:val="24"/>
        </w:rPr>
        <w:t>中国证监会</w:t>
      </w:r>
      <w:r>
        <w:rPr>
          <w:rFonts w:hint="eastAsia"/>
          <w:bCs/>
          <w:sz w:val="24"/>
        </w:rPr>
        <w:t>规定条件</w:t>
      </w:r>
      <w:r>
        <w:rPr>
          <w:bCs/>
          <w:sz w:val="24"/>
          <w:szCs w:val="24"/>
        </w:rPr>
        <w:t>的</w:t>
      </w:r>
      <w:r>
        <w:rPr>
          <w:rFonts w:hint="eastAsia"/>
          <w:bCs/>
          <w:sz w:val="24"/>
          <w:szCs w:val="24"/>
        </w:rPr>
        <w:t>全国性报刊及</w:t>
      </w:r>
      <w:r>
        <w:rPr>
          <w:rFonts w:hint="eastAsia"/>
          <w:bCs/>
          <w:sz w:val="24"/>
        </w:rPr>
        <w:t>《信息披露办法》规定的</w:t>
      </w:r>
      <w:r>
        <w:rPr>
          <w:rFonts w:hint="eastAsia"/>
          <w:bCs/>
          <w:sz w:val="24"/>
          <w:szCs w:val="24"/>
        </w:rPr>
        <w:t>互联网网站等</w:t>
      </w:r>
      <w:r>
        <w:rPr>
          <w:bCs/>
          <w:sz w:val="24"/>
          <w:szCs w:val="24"/>
        </w:rPr>
        <w:t>媒介</w:t>
      </w:r>
      <w:r>
        <w:rPr>
          <w:rFonts w:hint="eastAsia" w:asciiTheme="minorEastAsia" w:hAnsiTheme="minorEastAsia"/>
          <w:sz w:val="24"/>
          <w:szCs w:val="24"/>
        </w:rPr>
        <w:t>披露。根据法律法规应由基金托管人公开披露的信息，基金托管人将通过规定媒介或基金托管人的互联网网站公开披露。</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当出现下述情况时，基金管理人和基金托管人可暂停或延迟披露基金信息：</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(1)不可抗力；</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(2)法律法规、《基金合同》或中国证监会规定的情况。</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按有关规定须经基金托管人复核的信息披露文件，由基金管理人起草、并经基金托管人复核后由基金管理人公告。发生《基金合同》中规定需要披露的事项时，按《基金合同》规定公布。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3.信息文本的存放</w:t>
      </w:r>
    </w:p>
    <w:p>
      <w:pPr>
        <w:spacing w:line="400" w:lineRule="auto"/>
        <w:ind w:firstLine="480" w:firstLineChars="200"/>
        <w:rPr>
          <w:rFonts w:asciiTheme="minorEastAsia" w:hAnsiTheme="minorEastAsia"/>
          <w:sz w:val="24"/>
          <w:szCs w:val="24"/>
        </w:rPr>
      </w:pPr>
      <w:r>
        <w:rPr>
          <w:rFonts w:hint="eastAsia"/>
          <w:bCs/>
          <w:sz w:val="24"/>
          <w:szCs w:val="24"/>
        </w:rPr>
        <w:t>依法必须披露的信息发布后，基金管理人、基金托管人应当按照相关法律法规规定将信息置备于各自住所，供社会公众查阅、复制。</w:t>
      </w:r>
      <w:r>
        <w:rPr>
          <w:rFonts w:hint="eastAsia" w:asciiTheme="minorEastAsia" w:hAnsiTheme="minorEastAsia"/>
          <w:sz w:val="24"/>
          <w:szCs w:val="24"/>
        </w:rPr>
        <w:t>在支付工本费后可在合理时间获得上述文件的复制件或复印件。基金管理人和基金托管人应保证文本的内容与所公告的内容完全一致。</w:t>
      </w: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01" w:name="_Toc124325895"/>
      <w:bookmarkStart w:id="102" w:name="_Toc69134515"/>
      <w:r>
        <w:rPr>
          <w:rFonts w:hint="eastAsia" w:ascii="宋体" w:hAnsi="宋体" w:eastAsia="宋体" w:cs="Times New Roman"/>
          <w:b/>
          <w:sz w:val="30"/>
          <w:szCs w:val="20"/>
        </w:rPr>
        <w:t>十一、基金费用</w:t>
      </w:r>
      <w:bookmarkEnd w:id="101"/>
      <w:bookmarkEnd w:id="102"/>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（一）基金管理费的计提比例和计提方法</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本基金投资于基金管理人所管理的公开募集证券投资基金的部分不收取管理费。本基金的管理费按前一日基金资产净值扣除本基金持有的基金管理人自身管理的其他基金份额所对应资产净值剩余部分的</w:t>
      </w:r>
      <w:r>
        <w:rPr>
          <w:rFonts w:asciiTheme="minorEastAsia" w:hAnsiTheme="minorEastAsia"/>
          <w:sz w:val="24"/>
          <w:szCs w:val="24"/>
        </w:rPr>
        <w:t>0.80%</w:t>
      </w:r>
      <w:r>
        <w:rPr>
          <w:rFonts w:hint="eastAsia" w:asciiTheme="minorEastAsia" w:hAnsiTheme="minorEastAsia"/>
          <w:sz w:val="24"/>
          <w:szCs w:val="24"/>
        </w:rPr>
        <w:t>年费率计提</w:t>
      </w:r>
      <w:r>
        <w:rPr>
          <w:rFonts w:asciiTheme="minorEastAsia" w:hAnsiTheme="minorEastAsia"/>
          <w:sz w:val="24"/>
          <w:szCs w:val="24"/>
        </w:rPr>
        <w:t>。管理费的计算方法如下：</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H＝E×</w:t>
      </w:r>
      <w:r>
        <w:rPr>
          <w:rFonts w:hint="eastAsia" w:asciiTheme="minorEastAsia" w:hAnsiTheme="minorEastAsia"/>
          <w:sz w:val="24"/>
          <w:szCs w:val="24"/>
        </w:rPr>
        <w:t>0.</w:t>
      </w:r>
      <w:r>
        <w:rPr>
          <w:rFonts w:asciiTheme="minorEastAsia" w:hAnsiTheme="minorEastAsia"/>
          <w:sz w:val="24"/>
          <w:szCs w:val="24"/>
        </w:rPr>
        <w:t>80%÷当年天数</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H为每日应计提的基金管理费</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 xml:space="preserve">E </w:t>
      </w:r>
      <w:r>
        <w:rPr>
          <w:rFonts w:hint="eastAsia" w:asciiTheme="minorEastAsia" w:hAnsiTheme="minorEastAsia"/>
          <w:sz w:val="24"/>
          <w:szCs w:val="24"/>
        </w:rPr>
        <w:t>为前一日的基金资产净值扣除本基金持有的基金管理人自身管理的其他基金份额所对应资产净值的剩余部分（</w:t>
      </w:r>
      <w:r>
        <w:rPr>
          <w:rFonts w:asciiTheme="minorEastAsia" w:hAnsiTheme="minorEastAsia"/>
          <w:sz w:val="24"/>
          <w:szCs w:val="24"/>
        </w:rPr>
        <w:t>若为负数，</w:t>
      </w:r>
      <w:r>
        <w:rPr>
          <w:rFonts w:hint="eastAsia" w:asciiTheme="minorEastAsia" w:hAnsiTheme="minorEastAsia"/>
          <w:sz w:val="24"/>
          <w:szCs w:val="24"/>
        </w:rPr>
        <w:t>则</w:t>
      </w:r>
      <w:r>
        <w:rPr>
          <w:rFonts w:asciiTheme="minorEastAsia" w:hAnsiTheme="minorEastAsia"/>
          <w:sz w:val="24"/>
          <w:szCs w:val="24"/>
        </w:rPr>
        <w:t>取</w:t>
      </w:r>
      <w:r>
        <w:rPr>
          <w:rFonts w:hint="eastAsia" w:asciiTheme="minorEastAsia" w:hAnsiTheme="minorEastAsia"/>
          <w:sz w:val="24"/>
          <w:szCs w:val="24"/>
        </w:rPr>
        <w:t>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（二）基金托管费的计提比例和计提方法</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本基金投资于本基金托管人所托管的公开募集证券投资基金的部分不收取托管费。本基金的托管费按前一日基金资产净值扣除本基金持有的基金托管人自身托管的其他基金份额所对应资产净值剩余部分的</w:t>
      </w:r>
      <w:r>
        <w:rPr>
          <w:rFonts w:asciiTheme="minorEastAsia" w:hAnsiTheme="minorEastAsia"/>
          <w:sz w:val="24"/>
          <w:szCs w:val="24"/>
        </w:rPr>
        <w:t>0.20%</w:t>
      </w:r>
      <w:r>
        <w:rPr>
          <w:rFonts w:hint="eastAsia" w:asciiTheme="minorEastAsia" w:hAnsiTheme="minorEastAsia"/>
          <w:sz w:val="24"/>
          <w:szCs w:val="24"/>
        </w:rPr>
        <w:t>的年费率计提。</w:t>
      </w:r>
      <w:r>
        <w:rPr>
          <w:rFonts w:asciiTheme="minorEastAsia" w:hAnsiTheme="minorEastAsia"/>
          <w:sz w:val="24"/>
          <w:szCs w:val="24"/>
        </w:rPr>
        <w:t>托管费的计算方法如下：</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H＝E×</w:t>
      </w:r>
      <w:r>
        <w:rPr>
          <w:rFonts w:hint="eastAsia" w:asciiTheme="minorEastAsia" w:hAnsiTheme="minorEastAsia"/>
          <w:sz w:val="24"/>
          <w:szCs w:val="24"/>
        </w:rPr>
        <w:t>0.</w:t>
      </w:r>
      <w:r>
        <w:rPr>
          <w:rFonts w:asciiTheme="minorEastAsia" w:hAnsiTheme="minorEastAsia"/>
          <w:sz w:val="24"/>
          <w:szCs w:val="24"/>
        </w:rPr>
        <w:t>20%÷当年天数</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H为每日应计提的基金托管费</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E</w:t>
      </w:r>
      <w:r>
        <w:rPr>
          <w:rFonts w:hint="eastAsia" w:asciiTheme="minorEastAsia" w:hAnsiTheme="minorEastAsia"/>
          <w:sz w:val="24"/>
          <w:szCs w:val="24"/>
        </w:rPr>
        <w:t>为前一日的基金资产净值扣除本基金持有的基金托管人自身托管的其他基金份额所对应资产净值的剩余部分（</w:t>
      </w:r>
      <w:r>
        <w:rPr>
          <w:rFonts w:asciiTheme="minorEastAsia" w:hAnsiTheme="minorEastAsia"/>
          <w:sz w:val="24"/>
          <w:szCs w:val="24"/>
        </w:rPr>
        <w:t>若为负数，</w:t>
      </w:r>
      <w:r>
        <w:rPr>
          <w:rFonts w:hint="eastAsia" w:asciiTheme="minorEastAsia" w:hAnsiTheme="minorEastAsia"/>
          <w:sz w:val="24"/>
          <w:szCs w:val="24"/>
        </w:rPr>
        <w:t>则</w:t>
      </w:r>
      <w:r>
        <w:rPr>
          <w:rFonts w:asciiTheme="minorEastAsia" w:hAnsiTheme="minorEastAsia"/>
          <w:sz w:val="24"/>
          <w:szCs w:val="24"/>
        </w:rPr>
        <w:t>取</w:t>
      </w:r>
      <w:r>
        <w:rPr>
          <w:rFonts w:hint="eastAsia" w:asciiTheme="minorEastAsia" w:hAnsiTheme="minorEastAsia"/>
          <w:sz w:val="24"/>
          <w:szCs w:val="24"/>
        </w:rPr>
        <w:t>0）</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证券账户开户费用、证券交易费用、基金银行汇划费用、账户维护费、《基金合同》生效后与基金相关的信息披露费用、基金份额持有人大会费用、《基金合同》生效后与基金有关的会计师费、律师费、仲裁费和诉讼费、</w:t>
      </w:r>
      <w:r>
        <w:rPr>
          <w:rFonts w:hint="eastAsia"/>
          <w:bCs/>
          <w:sz w:val="24"/>
        </w:rPr>
        <w:t>基金投资其他基金产生的其他基金的销售费用，但法律法规禁止从基金财产中列支的除外、</w:t>
      </w:r>
      <w:r>
        <w:rPr>
          <w:bCs/>
          <w:sz w:val="24"/>
        </w:rPr>
        <w:t>按照国家有关规定和《基金合同》约定，可以在基金财产中列支的其他费用</w:t>
      </w:r>
      <w:r>
        <w:rPr>
          <w:rFonts w:hint="eastAsia" w:asciiTheme="minorEastAsia" w:hAnsiTheme="minorEastAsia"/>
          <w:sz w:val="24"/>
          <w:szCs w:val="24"/>
        </w:rPr>
        <w:t>等根据有关法律法规、《基金合同》及相应协议的规定，列入当期基金费用。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（四）不列入基金费用的项目</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1、基金管理人和基金托管人因未履行或未完全履行义务导致的费用支出或基金财产的损失；</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2、基金管理人和基金托管人处理与基金运作无关的事项发生的费用；</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3、《基金合同》生效前的相关费用；</w:t>
      </w:r>
    </w:p>
    <w:p>
      <w:pPr>
        <w:spacing w:line="400" w:lineRule="auto"/>
        <w:ind w:firstLine="480" w:firstLineChars="200"/>
        <w:rPr>
          <w:rFonts w:asciiTheme="minorEastAsia" w:hAnsiTheme="minorEastAsia"/>
          <w:sz w:val="24"/>
          <w:szCs w:val="24"/>
        </w:rPr>
      </w:pPr>
      <w:r>
        <w:rPr>
          <w:rFonts w:asciiTheme="minorEastAsia" w:hAnsiTheme="minorEastAsia"/>
          <w:sz w:val="24"/>
          <w:szCs w:val="24"/>
        </w:rPr>
        <w:t>4、其他根据相关法律法规及中国证监会的有关规定不得列入基金费用的项目。</w:t>
      </w:r>
      <w:bookmarkStart w:id="103" w:name="_Hlt88827255"/>
      <w:bookmarkEnd w:id="103"/>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基金管理人运用本基金财产申购自身管理的基金的（</w:t>
      </w:r>
      <w:r>
        <w:rPr>
          <w:rFonts w:asciiTheme="minorEastAsia" w:hAnsiTheme="minorEastAsia"/>
          <w:sz w:val="24"/>
          <w:szCs w:val="24"/>
        </w:rPr>
        <w:t>ETF</w:t>
      </w:r>
      <w:r>
        <w:rPr>
          <w:rFonts w:hint="eastAsia" w:asciiTheme="minorEastAsia" w:hAnsiTheme="minorEastAsia"/>
          <w:sz w:val="24"/>
          <w:szCs w:val="24"/>
        </w:rPr>
        <w:t>除外），应当通过直销渠道申购且不得收取申购费、</w:t>
      </w:r>
      <w:r>
        <w:rPr>
          <w:rFonts w:hint="eastAsia"/>
          <w:bCs/>
          <w:sz w:val="24"/>
        </w:rPr>
        <w:t>赎回费（按照相关法规、基金招募说明书约定应当收取，并记入基金财产的赎回费用除外）、</w:t>
      </w:r>
      <w:r>
        <w:rPr>
          <w:rFonts w:hint="eastAsia" w:asciiTheme="minorEastAsia" w:hAnsiTheme="minorEastAsia"/>
          <w:sz w:val="24"/>
          <w:szCs w:val="24"/>
        </w:rPr>
        <w:t>销售服务费等销售费用。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（五）基金管理费和基金托管费的复核程序、支付方式和时间</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1.复核程序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基金托管人对基金管理人计提的基金管理费和基金托管费等，根据本托管协议和《基金合同》的有关规定进行复核。</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2.支付方式和时间</w:t>
      </w:r>
    </w:p>
    <w:p>
      <w:pPr>
        <w:spacing w:line="400" w:lineRule="auto"/>
        <w:ind w:firstLine="480" w:firstLineChars="200"/>
        <w:rPr>
          <w:bCs/>
          <w:sz w:val="24"/>
        </w:rPr>
      </w:pPr>
      <w:r>
        <w:rPr>
          <w:rFonts w:hint="eastAsia" w:asciiTheme="minorEastAsia" w:hAnsiTheme="minorEastAsia"/>
          <w:sz w:val="24"/>
          <w:szCs w:val="24"/>
        </w:rPr>
        <w:t>基金管理费</w:t>
      </w:r>
      <w:r>
        <w:rPr>
          <w:bCs/>
          <w:sz w:val="24"/>
        </w:rPr>
        <w:t>每日计算，逐日累计至每月月末，按月支付，由基金管理人向基金托管人发送基金管理费</w:t>
      </w:r>
      <w:r>
        <w:rPr>
          <w:rFonts w:hint="eastAsia"/>
          <w:bCs/>
          <w:sz w:val="24"/>
        </w:rPr>
        <w:t>划付</w:t>
      </w:r>
      <w:r>
        <w:rPr>
          <w:bCs/>
          <w:sz w:val="24"/>
        </w:rPr>
        <w:t>指令，</w:t>
      </w:r>
      <w:r>
        <w:rPr>
          <w:rFonts w:hint="eastAsia"/>
          <w:bCs/>
          <w:sz w:val="24"/>
        </w:rPr>
        <w:t>经</w:t>
      </w:r>
      <w:r>
        <w:rPr>
          <w:bCs/>
          <w:sz w:val="24"/>
        </w:rPr>
        <w:t>基金托管人复核后于次月</w:t>
      </w:r>
      <w:r>
        <w:rPr>
          <w:rFonts w:hint="eastAsia" w:ascii="宋体" w:hAnsi="宋体"/>
          <w:sz w:val="24"/>
        </w:rPr>
        <w:t>首日起5</w:t>
      </w:r>
      <w:r>
        <w:rPr>
          <w:bCs/>
          <w:sz w:val="24"/>
        </w:rPr>
        <w:t>个工作日内从基金财产中一次性支付给基金管理人。若遇法定节假日、公休</w:t>
      </w:r>
      <w:r>
        <w:rPr>
          <w:rFonts w:hint="eastAsia"/>
          <w:bCs/>
          <w:sz w:val="24"/>
        </w:rPr>
        <w:t>日</w:t>
      </w:r>
      <w:r>
        <w:rPr>
          <w:bCs/>
          <w:sz w:val="24"/>
        </w:rPr>
        <w:t>等</w:t>
      </w:r>
      <w:r>
        <w:rPr>
          <w:rFonts w:hint="eastAsia"/>
          <w:bCs/>
          <w:sz w:val="24"/>
        </w:rPr>
        <w:t>，</w:t>
      </w:r>
      <w:r>
        <w:rPr>
          <w:bCs/>
          <w:sz w:val="24"/>
        </w:rPr>
        <w:t>支付日期顺延。</w:t>
      </w:r>
    </w:p>
    <w:p>
      <w:pPr>
        <w:spacing w:line="400" w:lineRule="auto"/>
        <w:ind w:firstLine="480" w:firstLineChars="200"/>
        <w:rPr>
          <w:rFonts w:asciiTheme="minorEastAsia" w:hAnsiTheme="minorEastAsia"/>
          <w:sz w:val="24"/>
          <w:szCs w:val="24"/>
        </w:rPr>
      </w:pPr>
      <w:r>
        <w:rPr>
          <w:bCs/>
          <w:sz w:val="24"/>
        </w:rPr>
        <w:t>基金托管费每日计算，逐日累计至每月月末，按月支付，由基金管理人向基金托管人发送基金托管费</w:t>
      </w:r>
      <w:r>
        <w:rPr>
          <w:rFonts w:hint="eastAsia"/>
          <w:bCs/>
          <w:sz w:val="24"/>
        </w:rPr>
        <w:t>划付</w:t>
      </w:r>
      <w:r>
        <w:rPr>
          <w:bCs/>
          <w:sz w:val="24"/>
        </w:rPr>
        <w:t>指令，</w:t>
      </w:r>
      <w:r>
        <w:rPr>
          <w:rFonts w:hint="eastAsia"/>
          <w:bCs/>
          <w:sz w:val="24"/>
        </w:rPr>
        <w:t>经</w:t>
      </w:r>
      <w:r>
        <w:rPr>
          <w:bCs/>
          <w:sz w:val="24"/>
        </w:rPr>
        <w:t>基金托管人复核后于次月</w:t>
      </w:r>
      <w:r>
        <w:rPr>
          <w:rFonts w:hint="eastAsia"/>
          <w:bCs/>
          <w:sz w:val="24"/>
        </w:rPr>
        <w:t>首日起5</w:t>
      </w:r>
      <w:r>
        <w:rPr>
          <w:bCs/>
          <w:sz w:val="24"/>
        </w:rPr>
        <w:t>个工作日内从基金财产中一次性支取。若遇法定节假日、公休日等</w:t>
      </w:r>
      <w:r>
        <w:rPr>
          <w:rFonts w:hint="eastAsia"/>
          <w:bCs/>
          <w:sz w:val="24"/>
        </w:rPr>
        <w:t>，</w:t>
      </w:r>
      <w:r>
        <w:rPr>
          <w:bCs/>
          <w:sz w:val="24"/>
        </w:rPr>
        <w:t>支付日期顺延</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在首期支付基金管理费前，基金管理人应向托管人出具正式函件指定基金管理费的收款账户。基金管理人如需要变更此账户，应提前5个工作日向基金托管人出具书面的收款账户变更通知。</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（六）违规处理方式</w:t>
      </w:r>
    </w:p>
    <w:p>
      <w:pPr>
        <w:adjustRightInd w:val="0"/>
        <w:snapToGrid w:val="0"/>
        <w:ind w:firstLine="480" w:firstLineChars="200"/>
        <w:rPr>
          <w:rFonts w:asciiTheme="minorEastAsia" w:hAnsiTheme="minorEastAsia"/>
          <w:sz w:val="24"/>
          <w:szCs w:val="24"/>
        </w:rPr>
      </w:pPr>
      <w:r>
        <w:rPr>
          <w:rFonts w:hint="eastAsia" w:asciiTheme="minorEastAsia" w:hAnsiTheme="minor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pPr>
        <w:adjustRightInd w:val="0"/>
        <w:snapToGrid w:val="0"/>
        <w:ind w:firstLine="480" w:firstLineChars="200"/>
        <w:rPr>
          <w:rFonts w:asciiTheme="minorEastAsia" w:hAnsiTheme="minorEastAsia" w:cstheme="minorEastAsia"/>
          <w:sz w:val="24"/>
        </w:rPr>
      </w:pPr>
      <w:r>
        <w:rPr>
          <w:rFonts w:hint="eastAsia" w:asciiTheme="minorEastAsia" w:hAnsiTheme="minorEastAsia" w:cstheme="minorEastAsia"/>
          <w:sz w:val="24"/>
          <w:szCs w:val="24"/>
        </w:rPr>
        <w:t>（</w:t>
      </w:r>
      <w:r>
        <w:rPr>
          <w:rFonts w:hint="eastAsia" w:asciiTheme="minorEastAsia" w:hAnsiTheme="minorEastAsia" w:cstheme="minorEastAsia"/>
          <w:sz w:val="24"/>
        </w:rPr>
        <w:t>七）实施侧袋机制期间的基金费用</w:t>
      </w:r>
    </w:p>
    <w:p>
      <w:pPr>
        <w:adjustRightInd w:val="0"/>
        <w:snapToGrid w:val="0"/>
        <w:rPr>
          <w:rFonts w:asciiTheme="minorEastAsia" w:hAnsiTheme="minorEastAsia" w:cstheme="minorEastAsia"/>
          <w:sz w:val="24"/>
        </w:rPr>
      </w:pPr>
      <w:r>
        <w:rPr>
          <w:rFonts w:hint="eastAsia" w:asciiTheme="minorEastAsia" w:hAnsiTheme="minorEastAsia" w:cstheme="minorEastAsia"/>
          <w:sz w:val="24"/>
        </w:rPr>
        <w:t>本基金实施侧袋机制的，与侧袋账户有关的费用可以从侧袋账户中列支，但应待侧袋账户资产变现后方可列支，有关费用可酌情收取或减免，但不得收取管理费，详见招募说明书的规定。</w:t>
      </w:r>
    </w:p>
    <w:p>
      <w:pPr>
        <w:spacing w:line="400" w:lineRule="auto"/>
        <w:ind w:firstLine="480" w:firstLineChars="20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04" w:name="_Toc124325896"/>
      <w:bookmarkStart w:id="105" w:name="_Toc69134516"/>
      <w:r>
        <w:rPr>
          <w:rFonts w:hint="eastAsia" w:ascii="宋体" w:hAnsi="宋体" w:eastAsia="宋体" w:cs="Times New Roman"/>
          <w:b/>
          <w:sz w:val="30"/>
          <w:szCs w:val="20"/>
        </w:rPr>
        <w:t>十二、基金份额持有人名册的保管</w:t>
      </w:r>
      <w:bookmarkEnd w:id="104"/>
      <w:bookmarkEnd w:id="105"/>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Pr>
          <w:rFonts w:hint="eastAsia"/>
          <w:bCs/>
          <w:sz w:val="24"/>
          <w:szCs w:val="24"/>
        </w:rPr>
        <w:t>不低于法律法规规定的最低期限</w:t>
      </w:r>
      <w:r>
        <w:rPr>
          <w:rFonts w:hint="eastAsia" w:asciiTheme="minorEastAsia" w:hAnsiTheme="minorEastAsia"/>
          <w:sz w:val="24"/>
          <w:szCs w:val="24"/>
        </w:rPr>
        <w:t>。如不能妥善保管，则按相关法规承担责任。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06" w:name="_Toc124325897"/>
      <w:bookmarkStart w:id="107" w:name="_Toc69134517"/>
      <w:r>
        <w:rPr>
          <w:rFonts w:hint="eastAsia" w:ascii="宋体" w:hAnsi="宋体" w:eastAsia="宋体" w:cs="Times New Roman"/>
          <w:b/>
          <w:sz w:val="30"/>
          <w:szCs w:val="20"/>
        </w:rPr>
        <w:t>十三、基金有关文件档案的保存</w:t>
      </w:r>
      <w:bookmarkEnd w:id="106"/>
      <w:bookmarkEnd w:id="107"/>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（一）档案保存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hint="eastAsia"/>
          <w:bCs/>
          <w:sz w:val="24"/>
          <w:szCs w:val="24"/>
        </w:rPr>
        <w:t>不低于法律法规规定的最低期限</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（二）合同档案的建立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1.基金管理人签署重大合同文本后，应及时将合同文本正本送达基金托管人处。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2.基金管理人应及时将与本基金账务处理、资金划拨等有关的合同、协议传真基金托管人。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（三）变更与协助</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若基金管理人/基金托管人发生变更，未变更的一方有义务协助变更后的接任人接收相应文件。</w:t>
      </w:r>
    </w:p>
    <w:p>
      <w:pPr>
        <w:spacing w:line="400" w:lineRule="auto"/>
        <w:ind w:firstLine="480" w:firstLineChars="200"/>
        <w:rPr>
          <w:rFonts w:ascii="宋体" w:hAnsi="宋体" w:eastAsia="宋体" w:cs="Arial"/>
          <w:sz w:val="24"/>
          <w:szCs w:val="24"/>
        </w:rPr>
      </w:pPr>
      <w:r>
        <w:rPr>
          <w:rFonts w:hint="eastAsia" w:asciiTheme="minorEastAsia" w:hAnsiTheme="minorEastAsia"/>
          <w:sz w:val="24"/>
          <w:szCs w:val="24"/>
        </w:rPr>
        <w:t>（四）基金管理人和基金托管人应按各自职责完整保存原始凭证、记账凭证、基金账册、交易记录和重要合同等，承担保密义务并保存</w:t>
      </w:r>
      <w:r>
        <w:rPr>
          <w:rFonts w:hint="eastAsia"/>
          <w:bCs/>
          <w:sz w:val="24"/>
          <w:szCs w:val="24"/>
        </w:rPr>
        <w:t>不低于法律法规规定的最低期限</w:t>
      </w:r>
      <w:r>
        <w:rPr>
          <w:rFonts w:hint="eastAsia" w:asciiTheme="minorEastAsia" w:hAnsiTheme="minorEastAsia"/>
          <w:sz w:val="24"/>
          <w:szCs w:val="24"/>
        </w:rPr>
        <w:t>。</w:t>
      </w: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adjustRightInd w:val="0"/>
        <w:snapToGrid w:val="0"/>
        <w:rPr>
          <w:rFonts w:ascii="宋体" w:hAnsi="宋体" w:eastAsia="宋体" w:cs="Times New Roman"/>
          <w:sz w:val="30"/>
          <w:szCs w:val="30"/>
        </w:rPr>
      </w:pPr>
    </w:p>
    <w:p>
      <w:pPr>
        <w:keepNext/>
        <w:keepLines/>
        <w:spacing w:before="260" w:after="260" w:line="416" w:lineRule="auto"/>
        <w:jc w:val="center"/>
        <w:outlineLvl w:val="1"/>
        <w:rPr>
          <w:rFonts w:ascii="宋体" w:hAnsi="宋体" w:eastAsia="宋体" w:cs="Times New Roman"/>
          <w:b/>
          <w:sz w:val="30"/>
          <w:szCs w:val="20"/>
        </w:rPr>
      </w:pPr>
      <w:bookmarkStart w:id="108" w:name="_Toc69134518"/>
      <w:bookmarkStart w:id="109" w:name="_Toc124325898"/>
      <w:r>
        <w:rPr>
          <w:rFonts w:hint="eastAsia" w:ascii="宋体" w:hAnsi="宋体" w:eastAsia="宋体" w:cs="Times New Roman"/>
          <w:b/>
          <w:sz w:val="30"/>
          <w:szCs w:val="20"/>
        </w:rPr>
        <w:t>十四、基金管理人和基金托管人的更换</w:t>
      </w:r>
      <w:bookmarkEnd w:id="108"/>
      <w:bookmarkEnd w:id="109"/>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（一）基金管理人职责终止的情形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1.基金管理人职责终止的情形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有下列情形之一的，基金管理人职责终止：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(1)被依法取消基金管理资格；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(2)依法解散、被依法撤销或被依法宣告破产；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(3)被基金份额持有人大会解任；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(4)法律法规及中国证监会规定的和《基金合同》约定的其他情形。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2.基金管理人的更换程序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更换基金管理人必须依照如下程序进行：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(1)提名：新任基金管理人由基金托管人或由单独或合计持有10%以上(含10%)基金份额的基金份额持有人提名；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(3)临时基金管理人：新任基金管理人产生之前，由中国证监会指定临时基金管理人；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(4)备案：基金份额持有人大会更换基金管理人的决议须报中国证监会备案；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(5)公告：基金管理人更换后，由基金托管人在更换基金管理人的基金份额持有人大会决议生效后2日内在规定媒介公告；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(7)审计：基金管理人职责终止的，应当按照法律法规规定聘请会计师事务所对基金财产进行审计，并将审计结果予以公告，同时报中国证监会备案，审计费由基金财产承担；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(8)基金名称变更：基金管理人更换后，如果原任或新任基金管理人要求，应按其要求替换或删除基金名称中与原基金管理人有关的名称字样。</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（二）基金托管人职责终止的情形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1.基金托管人职责终止的情形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有下列情形之一的，基金托管人职责终止：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(1)被依法取消基金托管资格；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(2)依法解散、被依法撤销或被依法宣告破产；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(3)被基金份额持有人大会解任；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(4)法律法规及中国证监会规定的和《基金合同》约定的其他情形。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2.基金托管人的更换程序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(1)提名：新任基金托管人由基金管理人或由单独或合计持有10%以上(含10%)基金份额的基金份额持有人提名；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(3)临时基金托管人：新任基金托管人产生之前，由中国证监会指定临时基金托管人；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(4)备案：基金份额持有人大会更换基金托管人的决议须报中国证监会备案；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(5)公告：基金托管人更换后，由基金管理人在更换基金托管人的基金份额持有人大会决议生效后 2日内在规定媒介公告；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(7)审计：基金托管人职责终止的，应当按照法律法规规定聘请会计师事务所对基金财产进行审计，并将审计结果予以公告，同时报中国证监会备案，审计费由基金财产承担。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（三）基金管理人与基金托管人同时更换的条件和程序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1.提名：如果基金管理人和基金托管人同时更换，由单独或合计持有基金总份额10%以上(含10%)的基金份额持有人提名新的基金管理人和基金托管人；</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2.基金管理人和基金托管人的更换分别按上述程序进行；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3.公告：新任基金管理人和新任基金托管人应在更换基金管理人和基金托管人的基金份额持有人大会决议生效后2日内在规定媒介上联合公告。</w:t>
      </w:r>
    </w:p>
    <w:p>
      <w:pPr>
        <w:spacing w:line="400" w:lineRule="auto"/>
        <w:ind w:firstLine="480" w:firstLineChars="200"/>
        <w:rPr>
          <w:rFonts w:ascii="宋体" w:hAnsi="宋体" w:eastAsia="宋体" w:cs="Arial"/>
          <w:sz w:val="24"/>
          <w:szCs w:val="24"/>
        </w:rPr>
      </w:pPr>
      <w:r>
        <w:rPr>
          <w:rFonts w:hint="eastAsia" w:asciiTheme="minorEastAsia" w:hAnsiTheme="minorEastAsia"/>
          <w:sz w:val="24"/>
          <w:szCs w:val="24"/>
        </w:rPr>
        <w:t>（四）新任基金管理人或临时基金管理人接</w:t>
      </w:r>
      <w:r>
        <w:rPr>
          <w:rFonts w:asciiTheme="minorEastAsia" w:hAnsiTheme="minorEastAsia"/>
          <w:sz w:val="24"/>
          <w:szCs w:val="24"/>
        </w:rPr>
        <w:t>收</w:t>
      </w:r>
      <w:r>
        <w:rPr>
          <w:rFonts w:hint="eastAsia" w:asciiTheme="minorEastAsia" w:hAnsiTheme="minorEastAsia"/>
          <w:sz w:val="24"/>
          <w:szCs w:val="24"/>
        </w:rPr>
        <w:t>基金管理业务或新任基金托管人或临时基金托管人接</w:t>
      </w:r>
      <w:r>
        <w:rPr>
          <w:rFonts w:asciiTheme="minorEastAsia" w:hAnsiTheme="minorEastAsia"/>
          <w:sz w:val="24"/>
          <w:szCs w:val="24"/>
        </w:rPr>
        <w:t>收</w:t>
      </w:r>
      <w:r>
        <w:rPr>
          <w:rFonts w:hint="eastAsia" w:asciiTheme="minorEastAsia" w:hAnsiTheme="minorEastAsia"/>
          <w:sz w:val="24"/>
          <w:szCs w:val="24"/>
        </w:rPr>
        <w:t>基金财产和基金托管业务前，原基金管理人或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10" w:name="_Toc124325899"/>
      <w:bookmarkStart w:id="111" w:name="_Toc69134519"/>
      <w:r>
        <w:rPr>
          <w:rFonts w:hint="eastAsia" w:ascii="宋体" w:hAnsi="宋体" w:eastAsia="宋体" w:cs="Times New Roman"/>
          <w:b/>
          <w:sz w:val="30"/>
          <w:szCs w:val="20"/>
        </w:rPr>
        <w:t>十五、禁止行为</w:t>
      </w:r>
      <w:bookmarkEnd w:id="110"/>
      <w:bookmarkEnd w:id="111"/>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本协议当事人禁止从事的行为，包括但不限于：</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（一）基金管理人、基金托管人将其固有财产或者他人财产混同于基金财产从事证券投资。</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（二）基金管理人不公平地对待其管理的不同基金财产，基金托管人不公平地对待其托管的不同基金财产。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（三）基金管理人、基金托管人利用基金财产为基金份额持有人以外的第三人牟取利益。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（四）基金管理人、基金托管人向基金份额持有人违规承诺收益或者承担损失。</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（五）基金管理人、基金托管人对他人泄漏基金运作和管理过程中任何尚未按法律法规规定的方式公开披露的信息。</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（六）基金管理人在没有充足资金的情况下向基金托管人发出投资指令和赎回、分红资金的划拨指令，或违规向基金托管人发出指令。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（七）基金管理人、基金托管人在行政上、财务上不独立, 其高级管理人员和其他从业人员相互兼职。</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（八）基金托管人私自动用或处分基金财产，根据基金管理人的合法指令、《基金合同》或托管协议的规定进行处分的除外。</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九）基金财产用于下列投资或者活动：1.承销证券；2.违反规定向他人贷款或者提供担保；3.从事承担无限责任的投资；4.向其基金管理人、基金托管人出资；5.从事内幕交易、操纵证券交易价格及其他不正当的证券交易活动；6.本基金不得持有具有复杂、衍生品性质的基金份额，包括分级基金份额和中国证监会认定的其他基金份额；7.投资其他基金中基金；8.法律、行政法规和</w:t>
      </w:r>
      <w:r>
        <w:rPr>
          <w:rFonts w:hint="eastAsia"/>
          <w:bCs/>
          <w:sz w:val="24"/>
          <w:szCs w:val="24"/>
        </w:rPr>
        <w:t>中国证监会</w:t>
      </w:r>
      <w:r>
        <w:rPr>
          <w:rFonts w:hint="eastAsia" w:asciiTheme="minorEastAsia" w:hAnsiTheme="minorEastAsia"/>
          <w:sz w:val="24"/>
          <w:szCs w:val="24"/>
        </w:rPr>
        <w:t>规定禁止的其他活动。法律法规或监管部门取消</w:t>
      </w:r>
      <w:r>
        <w:rPr>
          <w:rFonts w:hint="eastAsia"/>
          <w:bCs/>
          <w:sz w:val="24"/>
          <w:szCs w:val="24"/>
        </w:rPr>
        <w:t>或变更</w:t>
      </w:r>
      <w:r>
        <w:rPr>
          <w:rFonts w:hint="eastAsia" w:asciiTheme="minorEastAsia" w:hAnsiTheme="minorEastAsia"/>
          <w:sz w:val="24"/>
          <w:szCs w:val="24"/>
        </w:rPr>
        <w:t>上述限制，如适用于本基金，</w:t>
      </w:r>
      <w:r>
        <w:rPr>
          <w:rFonts w:hint="eastAsia"/>
          <w:bCs/>
          <w:sz w:val="24"/>
          <w:szCs w:val="24"/>
        </w:rPr>
        <w:t>基金管理人在履行适当程序后可不受上述规定的限制或以变更后的规定为准</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（十）法律法规和《基金合同》禁止的其他行为，以及依照法律、行政法规有关规定，由中国证监会规定禁止基金管理人、基金托管人从事的其他行为。</w:t>
      </w: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spacing w:line="400" w:lineRule="auto"/>
        <w:ind w:firstLine="480" w:firstLineChars="200"/>
        <w:rPr>
          <w:rFonts w:asciiTheme="minorEastAsia" w:hAnsiTheme="minorEastAsia"/>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12" w:name="_Toc124325900"/>
      <w:bookmarkStart w:id="113" w:name="_Toc69134520"/>
      <w:r>
        <w:rPr>
          <w:rFonts w:hint="eastAsia" w:ascii="宋体" w:hAnsi="宋体" w:eastAsia="宋体" w:cs="Times New Roman"/>
          <w:b/>
          <w:sz w:val="30"/>
          <w:szCs w:val="20"/>
        </w:rPr>
        <w:t>十六、托管协议的变更、终止与基金财产的清算</w:t>
      </w:r>
      <w:bookmarkEnd w:id="112"/>
      <w:bookmarkEnd w:id="113"/>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（一）托管协议的变更程序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本协议双方当事人经协商一致，可以对协议进行修改。修改后的新协议，其内容不得与《基金合同》的规定有任何冲突。基金托管协议的变更报中国证监会备案。</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（二）托管协议终止的情形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1.《基金合同》终止；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2.基金托管人解散、依法被撤销、破产或由其他基金托管人接管基金资产；</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3.基金管理人解散、依法被撤销、破产或由其他基金管理人接管基金管理权；</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4.发生法律法规或《基金合同》规定的终止事项。</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（三）基金财产的清算</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1.基金财产清算小组：自出现《基金合同》终止事由之日起30个工作日内成立清算小组，基金管理人组织基金财产清算小组并在中国证监会的监督下进行基金清算。</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3.基金财产清算小组职责：基金财产清算小组负责基金财产的保管、清理、估价、变现和分配。基金财产清算小组可以依法进行必要的民事活动。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4.基金财产清算程序：</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(1)《基金合同》终止情形出现时，由基金财产清算小组统一接管基金；</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(2)对基金财产和债权债务进行清理和确认；</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(3)对基金财产进行估值和变现；</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(4)制作清算报告；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(5)聘请会计师事务所对清算报告进行外部审计，聘请律师事务所对清算报告出具法律意见书；</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(6)将清算报告报中国证监会备案并公告；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(7)对基金剩余财产进行分配。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5.基金财产清算的期限为</w:t>
      </w:r>
      <w:r>
        <w:rPr>
          <w:rFonts w:asciiTheme="minorEastAsia" w:hAnsiTheme="minorEastAsia"/>
          <w:sz w:val="24"/>
          <w:szCs w:val="24"/>
        </w:rPr>
        <w:t>6</w:t>
      </w:r>
      <w:r>
        <w:rPr>
          <w:rFonts w:hint="eastAsia" w:asciiTheme="minorEastAsia" w:hAnsiTheme="minorEastAsia"/>
          <w:sz w:val="24"/>
          <w:szCs w:val="24"/>
        </w:rPr>
        <w:t>个月，但因本基金所持证券、基金份额的流动性受到限制而不能及时变现的，清算期限可相应顺延。</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6.清算费用</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清算费用是指基金财产清算小组在进行基金清算过程中发生的所有合理费用，清算费用由基金财产清算小组优先从基金剩余财产中支付。</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7.基金财产清算剩余资产的分配：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依据基金财产清算的分配方案，将基金财产清算后的全部剩余资产扣除基金财产清算费用、交纳所欠税款并清偿基金债务后，按基金份额持有人持有的基金份额比例进行分配。</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8.基金财产清算的公告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清算过程中的有关重大事项须及时公告；基金财产清算报告经</w:t>
      </w:r>
      <w:r>
        <w:rPr>
          <w:rFonts w:hint="eastAsia"/>
          <w:sz w:val="24"/>
          <w:szCs w:val="24"/>
        </w:rPr>
        <w:t>符合《中华人民共和国证券法》规定的</w:t>
      </w:r>
      <w:r>
        <w:rPr>
          <w:rFonts w:hint="eastAsia" w:asciiTheme="minorEastAsia" w:hAnsiTheme="minorEastAsia"/>
          <w:sz w:val="24"/>
          <w:szCs w:val="24"/>
        </w:rPr>
        <w:t>会计师事务所审计、并由律师事务所出具法律意见书后，报中国证监会备案并公告。基金财产清算公告于基金财产清算报告报中国证监会备案后</w:t>
      </w:r>
      <w:r>
        <w:rPr>
          <w:rFonts w:asciiTheme="minorEastAsia" w:hAnsiTheme="minorEastAsia"/>
          <w:sz w:val="24"/>
          <w:szCs w:val="24"/>
        </w:rPr>
        <w:t>5</w:t>
      </w:r>
      <w:r>
        <w:rPr>
          <w:rFonts w:hint="eastAsia" w:asciiTheme="minorEastAsia" w:hAnsiTheme="minorEastAsia"/>
          <w:sz w:val="24"/>
          <w:szCs w:val="24"/>
        </w:rPr>
        <w:t>个工作日内由基金财产清算小组进行公告</w:t>
      </w:r>
      <w:r>
        <w:rPr>
          <w:rFonts w:hint="eastAsia"/>
          <w:sz w:val="24"/>
          <w:szCs w:val="24"/>
        </w:rPr>
        <w:t>，基金财产清算小组应当将清算报告登载在规定网站上，并将清算报告提示性公告登载在规定报刊上</w:t>
      </w:r>
      <w:r>
        <w:rPr>
          <w:rFonts w:hint="eastAsia" w:asciiTheme="minorEastAsia" w:hAnsiTheme="minorEastAsia"/>
          <w:sz w:val="24"/>
          <w:szCs w:val="24"/>
        </w:rPr>
        <w:t>。</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9.基金财产清算账册及文件的保存</w:t>
      </w:r>
    </w:p>
    <w:p>
      <w:pPr>
        <w:spacing w:line="400" w:lineRule="auto"/>
        <w:ind w:firstLine="480" w:firstLineChars="200"/>
        <w:rPr>
          <w:rFonts w:ascii="宋体" w:hAnsi="宋体" w:eastAsia="宋体" w:cs="Arial"/>
          <w:sz w:val="24"/>
          <w:szCs w:val="24"/>
        </w:rPr>
      </w:pPr>
      <w:r>
        <w:rPr>
          <w:rFonts w:hint="eastAsia" w:asciiTheme="minorEastAsia" w:hAnsiTheme="minorEastAsia"/>
          <w:sz w:val="24"/>
          <w:szCs w:val="24"/>
        </w:rPr>
        <w:t>基金财产清算账册及有关文件由基金托管人保存不低于法律法规规定的最低期限。</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14" w:name="_Toc124325901"/>
      <w:bookmarkStart w:id="115" w:name="_Toc69134521"/>
      <w:r>
        <w:rPr>
          <w:rFonts w:hint="eastAsia" w:ascii="宋体" w:hAnsi="宋体" w:eastAsia="宋体" w:cs="Times New Roman"/>
          <w:b/>
          <w:sz w:val="30"/>
          <w:szCs w:val="20"/>
        </w:rPr>
        <w:t>十七、违约责任</w:t>
      </w:r>
      <w:bookmarkEnd w:id="114"/>
      <w:bookmarkEnd w:id="115"/>
    </w:p>
    <w:p>
      <w:pPr>
        <w:spacing w:line="400" w:lineRule="auto"/>
        <w:ind w:firstLine="480" w:firstLineChars="200"/>
        <w:rPr>
          <w:rFonts w:asciiTheme="minorEastAsia" w:hAnsiTheme="minorEastAsia"/>
          <w:sz w:val="24"/>
          <w:szCs w:val="24"/>
        </w:rPr>
      </w:pPr>
      <w:r>
        <w:rPr>
          <w:rFonts w:hint="eastAsia" w:ascii="宋体" w:hAnsi="宋体" w:eastAsia="宋体" w:cs="Arial"/>
          <w:sz w:val="24"/>
          <w:szCs w:val="24"/>
        </w:rPr>
        <w:t>（</w:t>
      </w:r>
      <w:r>
        <w:rPr>
          <w:rFonts w:hint="eastAsia" w:asciiTheme="minorEastAsia" w:hAnsiTheme="minorEastAsia"/>
          <w:sz w:val="24"/>
          <w:szCs w:val="24"/>
        </w:rPr>
        <w:t>一）基金管理人、基金托管人不履行本协议或履行本协议不符合约定的，应当承担违约责任。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（二）基金管理人、基金托管人在履行各自职责的过程中，违反《基金法》</w:t>
      </w:r>
      <w:r>
        <w:rPr>
          <w:bCs/>
          <w:sz w:val="24"/>
        </w:rPr>
        <w:t>等法律法规的规定</w:t>
      </w:r>
      <w:r>
        <w:rPr>
          <w:rFonts w:hint="eastAsia" w:asciiTheme="minorEastAsia" w:hAnsiTheme="minorEastAsia"/>
          <w:sz w:val="24"/>
          <w:szCs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1.不可抗力；</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2.基金管理人</w:t>
      </w:r>
      <w:r>
        <w:rPr>
          <w:rFonts w:hint="eastAsia"/>
          <w:sz w:val="24"/>
        </w:rPr>
        <w:t>及</w:t>
      </w:r>
      <w:r>
        <w:rPr>
          <w:rFonts w:hint="eastAsia" w:asciiTheme="minorEastAsia" w:hAnsiTheme="minorEastAsia"/>
          <w:sz w:val="24"/>
          <w:szCs w:val="24"/>
        </w:rPr>
        <w:t>基金托管人按照当时有效的法律法规或中国证监会的规定作为或不作为而造成的损失等；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3.基金管理人由于按照《基金合同》规定的投资原则</w:t>
      </w:r>
      <w:r>
        <w:rPr>
          <w:rFonts w:hint="eastAsia"/>
          <w:sz w:val="24"/>
        </w:rPr>
        <w:t>而行使或不行使其投资权而造成的损</w:t>
      </w:r>
      <w:r>
        <w:rPr>
          <w:rFonts w:hint="eastAsia" w:asciiTheme="minorEastAsia" w:hAnsiTheme="minorEastAsia"/>
          <w:sz w:val="24"/>
          <w:szCs w:val="24"/>
        </w:rPr>
        <w:t>失等。</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（四）一方当事人违约，</w:t>
      </w:r>
      <w:r>
        <w:rPr>
          <w:bCs/>
          <w:sz w:val="24"/>
        </w:rPr>
        <w:t>非违约</w:t>
      </w:r>
      <w:r>
        <w:rPr>
          <w:rFonts w:hint="eastAsia" w:asciiTheme="minorEastAsia" w:hAnsiTheme="minorEastAsia"/>
          <w:sz w:val="24"/>
          <w:szCs w:val="24"/>
        </w:rPr>
        <w:t>方当事人在职责范围内有义务及时采取必要的措施，尽力防止损失的扩大。没有采取适当措施致使损失进一步扩大的，不得就扩大的损失要求赔偿。非违约方因防止损失扩大而支出的合理费用由违约方承担。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（五）违约行为虽已发生，但本托管协议能够继续履行的，在最大限度地保护基金份额持有人利益的前提下，基金管理人和基金托管人应当继续履行本协议。</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keepNext/>
        <w:keepLines/>
        <w:spacing w:before="260" w:after="260" w:line="416" w:lineRule="auto"/>
        <w:jc w:val="center"/>
        <w:outlineLvl w:val="1"/>
        <w:rPr>
          <w:rFonts w:ascii="宋体" w:hAnsi="宋体" w:eastAsia="宋体" w:cs="Times New Roman"/>
          <w:b/>
          <w:sz w:val="30"/>
          <w:szCs w:val="20"/>
        </w:rPr>
      </w:pPr>
      <w:bookmarkStart w:id="116" w:name="_Toc69134522"/>
      <w:bookmarkStart w:id="117" w:name="_Toc124325902"/>
      <w:r>
        <w:rPr>
          <w:rFonts w:hint="eastAsia" w:ascii="宋体" w:hAnsi="宋体" w:eastAsia="宋体" w:cs="Times New Roman"/>
          <w:b/>
          <w:sz w:val="30"/>
          <w:szCs w:val="20"/>
        </w:rPr>
        <w:t>十八、争议解决方式</w:t>
      </w:r>
      <w:bookmarkEnd w:id="116"/>
      <w:bookmarkEnd w:id="117"/>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争议处理期间，双方当事人应恪守基金管理人和基金托管人职责，各自继续忠实、勤勉、尽责地履行《基金合同》和本托管协议规定的义务，维护基金份额持有人的合法权益。</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本协议受中国法律（为本协议之目的，在此不包括香港、澳门特别行政区和台湾地区法律）管辖。</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18" w:name="_Toc124325903"/>
      <w:bookmarkStart w:id="119" w:name="_Toc69134523"/>
      <w:r>
        <w:rPr>
          <w:rFonts w:hint="eastAsia" w:ascii="宋体" w:hAnsi="宋体" w:eastAsia="宋体" w:cs="Times New Roman"/>
          <w:b/>
          <w:sz w:val="30"/>
          <w:szCs w:val="20"/>
        </w:rPr>
        <w:t>十九、托管协议的效力</w:t>
      </w:r>
      <w:bookmarkEnd w:id="118"/>
      <w:bookmarkEnd w:id="119"/>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双方对托管协议的效力约定如下：</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（二）托管协议自《基金合同》成立之日起成立，自《基金合同》生效之日起生效。托管协议的有效期自其生效之日起至基金财产清算结果报中国证监会备案并公告之日止。</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（三）托管协议自生效之日起对托管协议当事人具有同等的法律约束力。</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（四）本协议一式六份，协议双方各持二份，上报监管机构二份，每份具有同等的法律效力。</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keepNext/>
        <w:keepLines/>
        <w:spacing w:before="260" w:after="260" w:line="416" w:lineRule="auto"/>
        <w:jc w:val="center"/>
        <w:outlineLvl w:val="1"/>
        <w:rPr>
          <w:rFonts w:ascii="宋体" w:hAnsi="宋体" w:eastAsia="宋体" w:cs="Times New Roman"/>
          <w:b/>
          <w:sz w:val="30"/>
          <w:szCs w:val="20"/>
        </w:rPr>
      </w:pPr>
      <w:bookmarkStart w:id="120" w:name="_Toc124325904"/>
      <w:bookmarkStart w:id="121" w:name="_Toc69134524"/>
      <w:r>
        <w:rPr>
          <w:rFonts w:hint="eastAsia" w:ascii="宋体" w:hAnsi="宋体" w:eastAsia="宋体" w:cs="Times New Roman"/>
          <w:b/>
          <w:sz w:val="30"/>
          <w:szCs w:val="20"/>
        </w:rPr>
        <w:t>二十、其他事项</w:t>
      </w:r>
      <w:bookmarkEnd w:id="120"/>
      <w:bookmarkEnd w:id="121"/>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如发生有权司法机关依法冻结基金份额持有人的基金份额时，基金管理人应予以配合，承担司法协助义务。</w:t>
      </w:r>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除本协议有明确定义外，本协议的用语定义适用《基金合同》的约定。本协议未尽事宜，当事人依据《基金合同》、有关法律法规等规定协商办理。</w:t>
      </w: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adjustRightInd w:val="0"/>
        <w:snapToGrid w:val="0"/>
        <w:rPr>
          <w:rFonts w:ascii="宋体" w:hAnsi="宋体" w:eastAsia="宋体" w:cs="Times New Roman"/>
          <w:b/>
          <w:bCs/>
          <w:szCs w:val="24"/>
        </w:rPr>
      </w:pPr>
    </w:p>
    <w:p>
      <w:pPr>
        <w:keepNext/>
        <w:keepLines/>
        <w:spacing w:before="260" w:after="260" w:line="416" w:lineRule="auto"/>
        <w:jc w:val="center"/>
        <w:outlineLvl w:val="1"/>
        <w:rPr>
          <w:rFonts w:ascii="宋体" w:hAnsi="宋体" w:eastAsia="宋体" w:cs="Times New Roman"/>
          <w:b/>
          <w:sz w:val="30"/>
          <w:szCs w:val="20"/>
        </w:rPr>
      </w:pPr>
      <w:bookmarkStart w:id="122" w:name="_Toc124325905"/>
      <w:bookmarkStart w:id="123" w:name="_Toc69134525"/>
      <w:r>
        <w:rPr>
          <w:rFonts w:hint="eastAsia" w:ascii="宋体" w:hAnsi="宋体" w:eastAsia="宋体" w:cs="Times New Roman"/>
          <w:b/>
          <w:sz w:val="30"/>
          <w:szCs w:val="20"/>
        </w:rPr>
        <w:t>二十一、托管协议的签订</w:t>
      </w:r>
      <w:bookmarkEnd w:id="122"/>
      <w:bookmarkEnd w:id="123"/>
    </w:p>
    <w:p>
      <w:pPr>
        <w:spacing w:line="400" w:lineRule="auto"/>
        <w:ind w:firstLine="480" w:firstLineChars="200"/>
        <w:rPr>
          <w:rFonts w:asciiTheme="minorEastAsia" w:hAnsiTheme="minorEastAsia"/>
          <w:sz w:val="24"/>
          <w:szCs w:val="24"/>
        </w:rPr>
      </w:pPr>
      <w:r>
        <w:rPr>
          <w:rFonts w:hint="eastAsia" w:asciiTheme="minorEastAsia" w:hAnsiTheme="minorEastAsia"/>
          <w:sz w:val="24"/>
          <w:szCs w:val="24"/>
        </w:rPr>
        <w:t>本协议双方法定代表人或授权代表签章、签订地、签订日</w:t>
      </w:r>
    </w:p>
    <w:p>
      <w:pPr>
        <w:adjustRightInd w:val="0"/>
        <w:snapToGrid w:val="0"/>
        <w:ind w:firstLine="480" w:firstLineChars="200"/>
        <w:rPr>
          <w:rFonts w:ascii="宋体" w:hAnsi="宋体" w:eastAsia="宋体" w:cs="Arial"/>
          <w:sz w:val="24"/>
          <w:szCs w:val="24"/>
        </w:rPr>
        <w:sectPr>
          <w:headerReference r:id="rId3" w:type="default"/>
          <w:footerReference r:id="rId4" w:type="default"/>
          <w:pgSz w:w="11906" w:h="16838"/>
          <w:pgMar w:top="1418" w:right="1701" w:bottom="1418" w:left="1701" w:header="851" w:footer="992" w:gutter="0"/>
          <w:cols w:space="425" w:num="1"/>
          <w:docGrid w:type="lines" w:linePitch="312" w:charSpace="0"/>
        </w:sectPr>
      </w:pPr>
    </w:p>
    <w:p>
      <w:pPr>
        <w:spacing w:line="360" w:lineRule="auto"/>
        <w:ind w:right="26"/>
        <w:rPr>
          <w:rFonts w:ascii="宋体" w:hAnsi="宋体" w:eastAsia="宋体" w:cs="Times New Roman"/>
          <w:sz w:val="24"/>
          <w:szCs w:val="24"/>
        </w:rPr>
      </w:pPr>
      <w:r>
        <w:rPr>
          <w:rFonts w:hint="eastAsia" w:ascii="宋体" w:hAnsi="宋体" w:eastAsia="宋体" w:cs="Times New Roman"/>
          <w:sz w:val="24"/>
          <w:szCs w:val="24"/>
        </w:rPr>
        <w:t>本页无正文，为《国寿安保养老目标日期2030三年持有期混合型发起式基金中基金（FOF）托管协议》的签字盖章页。</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right="26"/>
        <w:rPr>
          <w:rFonts w:ascii="宋体" w:hAnsi="宋体" w:eastAsia="宋体" w:cs="Times New Roman"/>
          <w:sz w:val="24"/>
          <w:szCs w:val="24"/>
        </w:rPr>
      </w:pPr>
      <w:r>
        <w:rPr>
          <w:rFonts w:hint="eastAsia" w:ascii="宋体" w:hAnsi="宋体" w:eastAsia="宋体" w:cs="Times New Roman"/>
          <w:sz w:val="24"/>
          <w:szCs w:val="24"/>
        </w:rPr>
        <w:t>基金管理人：国寿安保基金管理有限公司（盖章）</w:t>
      </w: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r>
        <w:rPr>
          <w:rFonts w:hint="eastAsia" w:ascii="宋体" w:hAnsi="宋体" w:eastAsia="宋体" w:cs="Times New Roman"/>
          <w:sz w:val="24"/>
          <w:szCs w:val="24"/>
        </w:rPr>
        <w:t xml:space="preserve">法定代表人或授权代表：                   </w:t>
      </w: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r>
        <w:rPr>
          <w:rFonts w:hint="eastAsia" w:ascii="宋体" w:hAnsi="宋体" w:eastAsia="宋体" w:cs="Times New Roman"/>
          <w:sz w:val="24"/>
          <w:szCs w:val="24"/>
        </w:rPr>
        <w:t>基金托管人：中国建设银行股份有限公司（盖章）</w:t>
      </w: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p>
    <w:p>
      <w:pPr>
        <w:spacing w:line="360" w:lineRule="auto"/>
        <w:ind w:right="26"/>
        <w:rPr>
          <w:rFonts w:ascii="宋体" w:hAnsi="宋体" w:eastAsia="宋体" w:cs="Times New Roman"/>
          <w:sz w:val="24"/>
          <w:szCs w:val="24"/>
        </w:rPr>
      </w:pPr>
      <w:r>
        <w:rPr>
          <w:rFonts w:hint="eastAsia" w:ascii="宋体" w:hAnsi="宋体" w:eastAsia="宋体" w:cs="Times New Roman"/>
          <w:sz w:val="24"/>
          <w:szCs w:val="24"/>
        </w:rPr>
        <w:t xml:space="preserve">法定代表人或授权代表：                   </w:t>
      </w: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p>
    <w:p>
      <w:pPr>
        <w:spacing w:line="360" w:lineRule="auto"/>
        <w:ind w:right="26"/>
        <w:rPr>
          <w:rFonts w:ascii="宋体" w:hAnsi="宋体" w:eastAsia="宋体" w:cs="Times New Roman"/>
          <w:b/>
          <w:sz w:val="24"/>
          <w:szCs w:val="28"/>
        </w:rPr>
      </w:pPr>
      <w:r>
        <w:rPr>
          <w:rFonts w:hint="eastAsia" w:ascii="宋体" w:hAnsi="宋体" w:eastAsia="宋体" w:cs="Times New Roman"/>
          <w:b/>
          <w:sz w:val="24"/>
          <w:szCs w:val="28"/>
        </w:rPr>
        <w:t>签订地点：北京</w:t>
      </w:r>
    </w:p>
    <w:p>
      <w:pPr>
        <w:spacing w:line="360" w:lineRule="auto"/>
        <w:ind w:right="26"/>
        <w:rPr>
          <w:rFonts w:ascii="宋体" w:hAnsi="宋体" w:eastAsia="宋体" w:cs="Times New Roman"/>
          <w:szCs w:val="24"/>
        </w:rPr>
      </w:pPr>
      <w:r>
        <w:rPr>
          <w:rFonts w:hint="eastAsia" w:ascii="宋体" w:hAnsi="宋体" w:eastAsia="宋体" w:cs="Times New Roman"/>
          <w:b/>
          <w:sz w:val="24"/>
          <w:szCs w:val="28"/>
        </w:rPr>
        <w:t>签 订 日：二零二二年</w:t>
      </w:r>
      <w:r>
        <w:rPr>
          <w:rFonts w:hint="eastAsia" w:ascii="宋体" w:hAnsi="宋体" w:eastAsia="宋体" w:cs="宋体"/>
          <w:b/>
          <w:sz w:val="24"/>
          <w:szCs w:val="28"/>
        </w:rPr>
        <w:t xml:space="preserve"> </w:t>
      </w:r>
      <w:r>
        <w:rPr>
          <w:rFonts w:ascii="宋体" w:hAnsi="宋体" w:eastAsia="宋体" w:cs="宋体"/>
          <w:b/>
          <w:sz w:val="24"/>
          <w:szCs w:val="28"/>
        </w:rPr>
        <w:t xml:space="preserve">  </w:t>
      </w:r>
      <w:r>
        <w:rPr>
          <w:rFonts w:hint="eastAsia" w:ascii="宋体" w:hAnsi="宋体" w:eastAsia="宋体" w:cs="Times New Roman"/>
          <w:b/>
          <w:sz w:val="24"/>
          <w:szCs w:val="28"/>
        </w:rPr>
        <w:t>月</w:t>
      </w:r>
      <w:r>
        <w:rPr>
          <w:rFonts w:hint="eastAsia" w:ascii="宋体" w:hAnsi="宋体" w:eastAsia="宋体" w:cs="宋体"/>
          <w:b/>
          <w:sz w:val="24"/>
          <w:szCs w:val="28"/>
        </w:rPr>
        <w:t xml:space="preserve"> </w:t>
      </w:r>
      <w:r>
        <w:rPr>
          <w:rFonts w:ascii="宋体" w:hAnsi="宋体" w:eastAsia="宋体" w:cs="宋体"/>
          <w:b/>
          <w:sz w:val="24"/>
          <w:szCs w:val="28"/>
        </w:rPr>
        <w:t xml:space="preserve">  </w:t>
      </w:r>
      <w:r>
        <w:rPr>
          <w:rFonts w:hint="eastAsia" w:ascii="宋体" w:hAnsi="宋体" w:eastAsia="宋体" w:cs="Times New Roman"/>
          <w:b/>
          <w:sz w:val="24"/>
          <w:szCs w:val="28"/>
        </w:rPr>
        <w:t>日</w:t>
      </w:r>
    </w:p>
    <w:p/>
    <w:sectPr>
      <w:headerReference r:id="rId5" w:type="default"/>
      <w:footerReference r:id="rId6"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彩虹粗仿宋">
    <w:altName w:val="Arial Unicode MS"/>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832020"/>
    </w:sdtPr>
    <w:sdtContent>
      <w:p>
        <w:pPr>
          <w:pStyle w:val="10"/>
          <w:jc w:val="center"/>
        </w:pPr>
        <w:r>
          <w:fldChar w:fldCharType="begin"/>
        </w:r>
        <w:r>
          <w:instrText xml:space="preserve">PAGE   \* MERGEFORMAT</w:instrText>
        </w:r>
        <w:r>
          <w:fldChar w:fldCharType="separate"/>
        </w:r>
        <w:r>
          <w:rPr>
            <w:lang w:val="zh-CN"/>
          </w:rPr>
          <w:t>50</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国寿安保养老目标日期2030三年持有期混合型发起式基金中基金（FOF）          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514"/>
    <w:rsid w:val="00044716"/>
    <w:rsid w:val="000C297F"/>
    <w:rsid w:val="000C5247"/>
    <w:rsid w:val="001374E9"/>
    <w:rsid w:val="00141B81"/>
    <w:rsid w:val="00141F9A"/>
    <w:rsid w:val="001D2044"/>
    <w:rsid w:val="001F2A2C"/>
    <w:rsid w:val="00205FEF"/>
    <w:rsid w:val="00206748"/>
    <w:rsid w:val="00237FB4"/>
    <w:rsid w:val="0029293E"/>
    <w:rsid w:val="002D2901"/>
    <w:rsid w:val="002F4345"/>
    <w:rsid w:val="00313D20"/>
    <w:rsid w:val="00333063"/>
    <w:rsid w:val="003334D8"/>
    <w:rsid w:val="0035452B"/>
    <w:rsid w:val="00355DC3"/>
    <w:rsid w:val="003569DE"/>
    <w:rsid w:val="003F4743"/>
    <w:rsid w:val="004201A0"/>
    <w:rsid w:val="004460EE"/>
    <w:rsid w:val="004A7FB0"/>
    <w:rsid w:val="004D62D4"/>
    <w:rsid w:val="004F7F74"/>
    <w:rsid w:val="0050063E"/>
    <w:rsid w:val="00506772"/>
    <w:rsid w:val="00516416"/>
    <w:rsid w:val="0064019F"/>
    <w:rsid w:val="00666B75"/>
    <w:rsid w:val="00686ECF"/>
    <w:rsid w:val="006A0F2B"/>
    <w:rsid w:val="006F216B"/>
    <w:rsid w:val="00712317"/>
    <w:rsid w:val="00774245"/>
    <w:rsid w:val="0079174A"/>
    <w:rsid w:val="007A4958"/>
    <w:rsid w:val="008253EC"/>
    <w:rsid w:val="00850E52"/>
    <w:rsid w:val="008D745F"/>
    <w:rsid w:val="008F5B3B"/>
    <w:rsid w:val="00943BE0"/>
    <w:rsid w:val="009A30A2"/>
    <w:rsid w:val="009C3624"/>
    <w:rsid w:val="009F23E7"/>
    <w:rsid w:val="009F2C6B"/>
    <w:rsid w:val="00A138D8"/>
    <w:rsid w:val="00A3321E"/>
    <w:rsid w:val="00A430BB"/>
    <w:rsid w:val="00A848D1"/>
    <w:rsid w:val="00B13B0D"/>
    <w:rsid w:val="00B37213"/>
    <w:rsid w:val="00BA4BF0"/>
    <w:rsid w:val="00BC29F3"/>
    <w:rsid w:val="00BD1D9F"/>
    <w:rsid w:val="00BF7E7D"/>
    <w:rsid w:val="00C0504D"/>
    <w:rsid w:val="00C30A95"/>
    <w:rsid w:val="00C50A71"/>
    <w:rsid w:val="00D13CF4"/>
    <w:rsid w:val="00D83630"/>
    <w:rsid w:val="00D87C7E"/>
    <w:rsid w:val="00DA2B59"/>
    <w:rsid w:val="00E94514"/>
    <w:rsid w:val="00EB2ECB"/>
    <w:rsid w:val="00F52938"/>
    <w:rsid w:val="00F8224A"/>
    <w:rsid w:val="00FA680D"/>
    <w:rsid w:val="00FE2140"/>
    <w:rsid w:val="00FF7918"/>
    <w:rsid w:val="03E81503"/>
    <w:rsid w:val="05894895"/>
    <w:rsid w:val="09F859BC"/>
    <w:rsid w:val="0B752B52"/>
    <w:rsid w:val="0F1B2B63"/>
    <w:rsid w:val="13433630"/>
    <w:rsid w:val="15D84138"/>
    <w:rsid w:val="1E4755CA"/>
    <w:rsid w:val="24D5134A"/>
    <w:rsid w:val="328269BD"/>
    <w:rsid w:val="4F886347"/>
    <w:rsid w:val="5FA97CEB"/>
    <w:rsid w:val="6291259F"/>
    <w:rsid w:val="71656FB1"/>
    <w:rsid w:val="7F5B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31"/>
    <w:qFormat/>
    <w:uiPriority w:val="0"/>
    <w:pPr>
      <w:keepNext/>
      <w:keepLines/>
      <w:spacing w:before="260" w:after="260" w:line="416" w:lineRule="auto"/>
      <w:outlineLvl w:val="1"/>
    </w:pPr>
    <w:rPr>
      <w:rFonts w:ascii="Arial" w:hAnsi="Arial" w:eastAsia="黑体" w:cs="Times New Roman"/>
      <w:b/>
      <w:sz w:val="32"/>
      <w:szCs w:val="2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annotation text"/>
    <w:basedOn w:val="1"/>
    <w:link w:val="49"/>
    <w:qFormat/>
    <w:uiPriority w:val="0"/>
    <w:pPr>
      <w:jc w:val="left"/>
    </w:pPr>
    <w:rPr>
      <w:rFonts w:ascii="Times New Roman" w:hAnsi="Times New Roman" w:eastAsia="宋体" w:cs="Times New Roman"/>
      <w:szCs w:val="24"/>
    </w:rPr>
  </w:style>
  <w:style w:type="paragraph" w:styleId="6">
    <w:name w:val="Body Text"/>
    <w:basedOn w:val="1"/>
    <w:link w:val="34"/>
    <w:qFormat/>
    <w:uiPriority w:val="0"/>
    <w:pPr>
      <w:spacing w:line="360" w:lineRule="auto"/>
    </w:pPr>
    <w:rPr>
      <w:rFonts w:ascii="仿宋_GB2312" w:hAnsi="Times New Roman" w:eastAsia="仿宋_GB2312" w:cs="Times New Roman"/>
      <w:color w:val="000000"/>
      <w:kern w:val="0"/>
      <w:sz w:val="24"/>
      <w:szCs w:val="28"/>
    </w:rPr>
  </w:style>
  <w:style w:type="paragraph" w:styleId="7">
    <w:name w:val="Body Text Indent"/>
    <w:basedOn w:val="1"/>
    <w:link w:val="37"/>
    <w:qFormat/>
    <w:uiPriority w:val="0"/>
    <w:pPr>
      <w:adjustRightInd w:val="0"/>
      <w:snapToGrid w:val="0"/>
      <w:spacing w:line="560" w:lineRule="exact"/>
      <w:ind w:firstLine="480" w:firstLineChars="200"/>
    </w:pPr>
    <w:rPr>
      <w:rFonts w:ascii="Times New Roman" w:hAnsi="Times New Roman" w:eastAsia="方正仿宋简体" w:cs="Times New Roman"/>
      <w:sz w:val="24"/>
      <w:szCs w:val="30"/>
    </w:rPr>
  </w:style>
  <w:style w:type="paragraph" w:styleId="8">
    <w:name w:val="Body Text Indent 2"/>
    <w:basedOn w:val="1"/>
    <w:link w:val="39"/>
    <w:qFormat/>
    <w:uiPriority w:val="0"/>
    <w:pPr>
      <w:spacing w:line="360" w:lineRule="auto"/>
      <w:ind w:firstLine="525"/>
    </w:pPr>
    <w:rPr>
      <w:rFonts w:ascii="宋体" w:hAnsi="宋体" w:eastAsia="宋体" w:cs="Times New Roman"/>
      <w:sz w:val="28"/>
      <w:szCs w:val="20"/>
    </w:rPr>
  </w:style>
  <w:style w:type="paragraph" w:styleId="9">
    <w:name w:val="Balloon Text"/>
    <w:basedOn w:val="1"/>
    <w:link w:val="44"/>
    <w:semiHidden/>
    <w:qFormat/>
    <w:uiPriority w:val="0"/>
    <w:rPr>
      <w:rFonts w:ascii="Times New Roman" w:hAnsi="Times New Roman" w:eastAsia="宋体" w:cs="Times New Roman"/>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Indent 3"/>
    <w:basedOn w:val="1"/>
    <w:link w:val="41"/>
    <w:qFormat/>
    <w:uiPriority w:val="0"/>
    <w:pPr>
      <w:adjustRightInd w:val="0"/>
      <w:snapToGrid w:val="0"/>
      <w:ind w:firstLine="480" w:firstLineChars="200"/>
    </w:pPr>
    <w:rPr>
      <w:rFonts w:ascii="仿宋_GB2312" w:hAnsi="宋体" w:eastAsia="仿宋_GB2312" w:cs="Arial"/>
      <w:color w:val="000000"/>
      <w:sz w:val="24"/>
      <w:szCs w:val="24"/>
    </w:rPr>
  </w:style>
  <w:style w:type="paragraph" w:styleId="14">
    <w:name w:val="toc 2"/>
    <w:basedOn w:val="1"/>
    <w:next w:val="1"/>
    <w:unhideWhenUsed/>
    <w:qFormat/>
    <w:uiPriority w:val="39"/>
    <w:pPr>
      <w:ind w:left="420" w:leftChars="200"/>
    </w:pPr>
  </w:style>
  <w:style w:type="paragraph" w:styleId="15">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7">
    <w:name w:val="annotation subject"/>
    <w:basedOn w:val="5"/>
    <w:next w:val="5"/>
    <w:link w:val="55"/>
    <w:qFormat/>
    <w:uiPriority w:val="0"/>
    <w:rPr>
      <w:b/>
      <w:bCs/>
    </w:rPr>
  </w:style>
  <w:style w:type="table" w:styleId="19">
    <w:name w:val="Table Grid"/>
    <w:basedOn w:val="1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954F72" w:themeColor="followedHyperlink"/>
      <w:u w:val="single"/>
    </w:rPr>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character" w:customStyle="1" w:styleId="26">
    <w:name w:val="页眉 字符"/>
    <w:basedOn w:val="20"/>
    <w:link w:val="11"/>
    <w:qFormat/>
    <w:uiPriority w:val="99"/>
    <w:rPr>
      <w:sz w:val="18"/>
      <w:szCs w:val="18"/>
    </w:rPr>
  </w:style>
  <w:style w:type="character" w:customStyle="1" w:styleId="27">
    <w:name w:val="页脚 字符"/>
    <w:basedOn w:val="20"/>
    <w:link w:val="10"/>
    <w:qFormat/>
    <w:uiPriority w:val="99"/>
    <w:rPr>
      <w:sz w:val="18"/>
      <w:szCs w:val="18"/>
    </w:rPr>
  </w:style>
  <w:style w:type="character" w:customStyle="1" w:styleId="28">
    <w:name w:val="标题 2 字符"/>
    <w:basedOn w:val="20"/>
    <w:semiHidden/>
    <w:qFormat/>
    <w:uiPriority w:val="9"/>
    <w:rPr>
      <w:rFonts w:asciiTheme="majorHAnsi" w:hAnsiTheme="majorHAnsi" w:eastAsiaTheme="majorEastAsia" w:cstheme="majorBidi"/>
      <w:b/>
      <w:bCs/>
      <w:sz w:val="32"/>
      <w:szCs w:val="32"/>
    </w:rPr>
  </w:style>
  <w:style w:type="character" w:customStyle="1" w:styleId="29">
    <w:name w:val="页眉 Char"/>
    <w:qFormat/>
    <w:uiPriority w:val="0"/>
    <w:rPr>
      <w:rFonts w:ascii="Times New Roman" w:hAnsi="Times New Roman"/>
      <w:kern w:val="2"/>
      <w:sz w:val="18"/>
      <w:szCs w:val="18"/>
    </w:rPr>
  </w:style>
  <w:style w:type="character" w:customStyle="1" w:styleId="30">
    <w:name w:val="页脚 Char"/>
    <w:qFormat/>
    <w:uiPriority w:val="0"/>
    <w:rPr>
      <w:rFonts w:ascii="Times New Roman" w:hAnsi="Times New Roman"/>
      <w:kern w:val="2"/>
      <w:sz w:val="18"/>
      <w:szCs w:val="18"/>
    </w:rPr>
  </w:style>
  <w:style w:type="character" w:customStyle="1" w:styleId="31">
    <w:name w:val="标题 2 字符1"/>
    <w:link w:val="3"/>
    <w:qFormat/>
    <w:uiPriority w:val="0"/>
    <w:rPr>
      <w:rFonts w:ascii="Arial" w:hAnsi="Arial" w:eastAsia="黑体" w:cs="Times New Roman"/>
      <w:b/>
      <w:sz w:val="32"/>
      <w:szCs w:val="20"/>
    </w:rPr>
  </w:style>
  <w:style w:type="paragraph" w:customStyle="1" w:styleId="32">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rPr>
  </w:style>
  <w:style w:type="character" w:customStyle="1" w:styleId="33">
    <w:name w:val="正文文本 字符"/>
    <w:basedOn w:val="20"/>
    <w:semiHidden/>
    <w:qFormat/>
    <w:uiPriority w:val="99"/>
  </w:style>
  <w:style w:type="character" w:customStyle="1" w:styleId="34">
    <w:name w:val="正文文本 字符1"/>
    <w:link w:val="6"/>
    <w:qFormat/>
    <w:uiPriority w:val="0"/>
    <w:rPr>
      <w:rFonts w:ascii="仿宋_GB2312" w:hAnsi="Times New Roman" w:eastAsia="仿宋_GB2312" w:cs="Times New Roman"/>
      <w:color w:val="000000"/>
      <w:kern w:val="0"/>
      <w:sz w:val="24"/>
      <w:szCs w:val="28"/>
    </w:rPr>
  </w:style>
  <w:style w:type="character" w:customStyle="1" w:styleId="35">
    <w:name w:val="read"/>
    <w:basedOn w:val="20"/>
    <w:qFormat/>
    <w:uiPriority w:val="0"/>
  </w:style>
  <w:style w:type="character" w:customStyle="1" w:styleId="36">
    <w:name w:val="正文文本缩进 字符"/>
    <w:basedOn w:val="20"/>
    <w:semiHidden/>
    <w:qFormat/>
    <w:uiPriority w:val="99"/>
  </w:style>
  <w:style w:type="character" w:customStyle="1" w:styleId="37">
    <w:name w:val="正文文本缩进 字符1"/>
    <w:link w:val="7"/>
    <w:qFormat/>
    <w:uiPriority w:val="0"/>
    <w:rPr>
      <w:rFonts w:ascii="Times New Roman" w:hAnsi="Times New Roman" w:eastAsia="方正仿宋简体" w:cs="Times New Roman"/>
      <w:sz w:val="24"/>
      <w:szCs w:val="30"/>
    </w:rPr>
  </w:style>
  <w:style w:type="character" w:customStyle="1" w:styleId="38">
    <w:name w:val="正文文本缩进 2 字符"/>
    <w:basedOn w:val="20"/>
    <w:semiHidden/>
    <w:qFormat/>
    <w:uiPriority w:val="99"/>
  </w:style>
  <w:style w:type="character" w:customStyle="1" w:styleId="39">
    <w:name w:val="正文文本缩进 2 字符1"/>
    <w:link w:val="8"/>
    <w:qFormat/>
    <w:uiPriority w:val="0"/>
    <w:rPr>
      <w:rFonts w:ascii="宋体" w:hAnsi="宋体" w:eastAsia="宋体" w:cs="Times New Roman"/>
      <w:sz w:val="28"/>
      <w:szCs w:val="20"/>
    </w:rPr>
  </w:style>
  <w:style w:type="character" w:customStyle="1" w:styleId="40">
    <w:name w:val="正文文本缩进 3 字符"/>
    <w:basedOn w:val="20"/>
    <w:semiHidden/>
    <w:qFormat/>
    <w:uiPriority w:val="99"/>
    <w:rPr>
      <w:sz w:val="16"/>
      <w:szCs w:val="16"/>
    </w:rPr>
  </w:style>
  <w:style w:type="character" w:customStyle="1" w:styleId="41">
    <w:name w:val="正文文本缩进 3 字符1"/>
    <w:link w:val="13"/>
    <w:qFormat/>
    <w:uiPriority w:val="0"/>
    <w:rPr>
      <w:rFonts w:ascii="仿宋_GB2312" w:hAnsi="宋体" w:eastAsia="仿宋_GB2312" w:cs="Arial"/>
      <w:color w:val="000000"/>
      <w:sz w:val="24"/>
      <w:szCs w:val="24"/>
    </w:rPr>
  </w:style>
  <w:style w:type="paragraph" w:customStyle="1" w:styleId="42">
    <w:name w:val="_Style 32"/>
    <w:unhideWhenUsed/>
    <w:qFormat/>
    <w:uiPriority w:val="99"/>
    <w:pPr>
      <w:widowControl w:val="0"/>
      <w:ind w:left="3360" w:leftChars="1600"/>
      <w:jc w:val="both"/>
    </w:pPr>
    <w:rPr>
      <w:rFonts w:ascii="Times New Roman" w:hAnsi="Times New Roman" w:eastAsia="宋体" w:cs="Times New Roman"/>
      <w:kern w:val="2"/>
      <w:sz w:val="21"/>
      <w:szCs w:val="24"/>
      <w:lang w:val="en-US" w:eastAsia="zh-CN" w:bidi="ar-SA"/>
    </w:rPr>
  </w:style>
  <w:style w:type="character" w:customStyle="1" w:styleId="43">
    <w:name w:val="批注框文本 字符"/>
    <w:basedOn w:val="20"/>
    <w:semiHidden/>
    <w:qFormat/>
    <w:uiPriority w:val="99"/>
    <w:rPr>
      <w:sz w:val="18"/>
      <w:szCs w:val="18"/>
    </w:rPr>
  </w:style>
  <w:style w:type="character" w:customStyle="1" w:styleId="44">
    <w:name w:val="批注框文本 字符1"/>
    <w:link w:val="9"/>
    <w:semiHidden/>
    <w:qFormat/>
    <w:uiPriority w:val="0"/>
    <w:rPr>
      <w:rFonts w:ascii="Times New Roman" w:hAnsi="Times New Roman" w:eastAsia="宋体" w:cs="Times New Roman"/>
      <w:sz w:val="18"/>
      <w:szCs w:val="18"/>
    </w:rPr>
  </w:style>
  <w:style w:type="paragraph" w:customStyle="1" w:styleId="45">
    <w:name w:val="Char"/>
    <w:basedOn w:val="1"/>
    <w:qFormat/>
    <w:uiPriority w:val="0"/>
    <w:rPr>
      <w:rFonts w:ascii="Times New Roman" w:hAnsi="Times New Roman" w:eastAsia="宋体" w:cs="Times New Roman"/>
      <w:szCs w:val="24"/>
    </w:rPr>
  </w:style>
  <w:style w:type="paragraph" w:customStyle="1" w:styleId="46">
    <w:name w:val="Char1"/>
    <w:basedOn w:val="1"/>
    <w:qFormat/>
    <w:uiPriority w:val="0"/>
    <w:pPr>
      <w:tabs>
        <w:tab w:val="left" w:pos="832"/>
      </w:tabs>
      <w:ind w:left="832" w:hanging="420"/>
      <w:jc w:val="center"/>
    </w:pPr>
    <w:rPr>
      <w:rFonts w:ascii="楷体_GB2312" w:hAnsi="Times New Roman" w:eastAsia="楷体_GB2312" w:cs="Times New Roman"/>
      <w:b/>
      <w:color w:val="000080"/>
      <w:sz w:val="30"/>
      <w:szCs w:val="30"/>
    </w:rPr>
  </w:style>
  <w:style w:type="paragraph" w:customStyle="1" w:styleId="47">
    <w:name w:val="Char Char Char"/>
    <w:basedOn w:val="1"/>
    <w:qFormat/>
    <w:uiPriority w:val="0"/>
    <w:rPr>
      <w:rFonts w:ascii="Times New Roman" w:hAnsi="Times New Roman" w:eastAsia="宋体" w:cs="Times New Roman"/>
      <w:szCs w:val="24"/>
    </w:rPr>
  </w:style>
  <w:style w:type="character" w:customStyle="1" w:styleId="48">
    <w:name w:val="批注文字 字符"/>
    <w:basedOn w:val="20"/>
    <w:semiHidden/>
    <w:qFormat/>
    <w:uiPriority w:val="99"/>
  </w:style>
  <w:style w:type="character" w:customStyle="1" w:styleId="49">
    <w:name w:val="批注文字 字符1"/>
    <w:link w:val="5"/>
    <w:qFormat/>
    <w:uiPriority w:val="0"/>
    <w:rPr>
      <w:rFonts w:ascii="Times New Roman" w:hAnsi="Times New Roman" w:eastAsia="宋体" w:cs="Times New Roman"/>
      <w:szCs w:val="24"/>
    </w:rPr>
  </w:style>
  <w:style w:type="paragraph" w:customStyle="1" w:styleId="50">
    <w:name w:val="Char Char Char Char Char Char Char1 Char Char Char Char Char Char"/>
    <w:basedOn w:val="1"/>
    <w:qFormat/>
    <w:uiPriority w:val="0"/>
    <w:rPr>
      <w:rFonts w:ascii="Times New Roman" w:hAnsi="Times New Roman" w:eastAsia="宋体" w:cs="Times New Roman"/>
      <w:szCs w:val="24"/>
    </w:rPr>
  </w:style>
  <w:style w:type="paragraph" w:customStyle="1" w:styleId="51">
    <w:name w:val="Char Char"/>
    <w:basedOn w:val="1"/>
    <w:qFormat/>
    <w:uiPriority w:val="0"/>
    <w:rPr>
      <w:rFonts w:ascii="Times New Roman" w:hAnsi="Times New Roman" w:eastAsia="宋体" w:cs="Times New Roman"/>
      <w:szCs w:val="20"/>
    </w:rPr>
  </w:style>
  <w:style w:type="character" w:customStyle="1" w:styleId="52">
    <w:name w:val="HTML 预设格式 字符"/>
    <w:basedOn w:val="20"/>
    <w:semiHidden/>
    <w:qFormat/>
    <w:uiPriority w:val="99"/>
    <w:rPr>
      <w:rFonts w:ascii="Courier New" w:hAnsi="Courier New" w:cs="Courier New"/>
      <w:sz w:val="20"/>
      <w:szCs w:val="20"/>
    </w:rPr>
  </w:style>
  <w:style w:type="character" w:customStyle="1" w:styleId="53">
    <w:name w:val="HTML 预设格式 字符1"/>
    <w:link w:val="15"/>
    <w:qFormat/>
    <w:uiPriority w:val="99"/>
    <w:rPr>
      <w:rFonts w:ascii="宋体" w:hAnsi="宋体" w:eastAsia="宋体" w:cs="宋体"/>
      <w:kern w:val="0"/>
      <w:sz w:val="24"/>
      <w:szCs w:val="24"/>
    </w:rPr>
  </w:style>
  <w:style w:type="character" w:customStyle="1" w:styleId="54">
    <w:name w:val="批注主题 字符"/>
    <w:basedOn w:val="48"/>
    <w:semiHidden/>
    <w:qFormat/>
    <w:uiPriority w:val="99"/>
    <w:rPr>
      <w:b/>
      <w:bCs/>
    </w:rPr>
  </w:style>
  <w:style w:type="character" w:customStyle="1" w:styleId="55">
    <w:name w:val="批注主题 字符1"/>
    <w:link w:val="17"/>
    <w:qFormat/>
    <w:uiPriority w:val="0"/>
    <w:rPr>
      <w:rFonts w:ascii="Times New Roman" w:hAnsi="Times New Roman" w:eastAsia="宋体" w:cs="Times New Roman"/>
      <w:b/>
      <w:bCs/>
      <w:szCs w:val="24"/>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访问过的超链接1"/>
    <w:basedOn w:val="20"/>
    <w:semiHidden/>
    <w:unhideWhenUsed/>
    <w:qFormat/>
    <w:uiPriority w:val="99"/>
    <w:rPr>
      <w:color w:val="954F72"/>
      <w:u w:val="single"/>
    </w:rPr>
  </w:style>
  <w:style w:type="character" w:customStyle="1" w:styleId="58">
    <w:name w:val="标题 1 字符"/>
    <w:basedOn w:val="20"/>
    <w:link w:val="2"/>
    <w:qFormat/>
    <w:uiPriority w:val="9"/>
    <w:rPr>
      <w:b/>
      <w:bCs/>
      <w:kern w:val="44"/>
      <w:sz w:val="44"/>
      <w:szCs w:val="44"/>
    </w:rPr>
  </w:style>
  <w:style w:type="paragraph" w:customStyle="1" w:styleId="5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6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5A0F1-1627-4953-87C7-9FC999C3D10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5465</Words>
  <Characters>31153</Characters>
  <Lines>259</Lines>
  <Paragraphs>73</Paragraphs>
  <TotalTime>2</TotalTime>
  <ScaleCrop>false</ScaleCrop>
  <LinksUpToDate>false</LinksUpToDate>
  <CharactersWithSpaces>36545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2021-04-15T13:24:00Z</dcterms:created>
  <dc:creator>徐洁</dc:creator>
  <cp:lastModifiedBy>xujie</cp:lastModifiedBy>
  <dcterms:modified xsi:type="dcterms:W3CDTF">2022-02-10T01:16:37Z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